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205"/>
        <w:ind w:left="0" w:right="353" w:firstLine="0"/>
        <w:jc w:val="center"/>
        <w:rPr>
          <w:rFonts w:ascii="Trebuchet MS"/>
          <w:sz w:val="18"/>
        </w:rPr>
      </w:pPr>
      <w:r>
        <w:rPr>
          <w:rFonts w:ascii="Trebuchet MS"/>
          <w:spacing w:val="-6"/>
          <w:sz w:val="18"/>
        </w:rPr>
        <w:t>Document</w:t>
      </w:r>
      <w:r>
        <w:rPr>
          <w:rFonts w:ascii="Trebuchet MS"/>
          <w:spacing w:val="-4"/>
          <w:sz w:val="18"/>
        </w:rPr>
        <w:t> </w:t>
      </w:r>
      <w:r>
        <w:rPr>
          <w:rFonts w:ascii="Trebuchet MS"/>
          <w:spacing w:val="-6"/>
          <w:sz w:val="18"/>
        </w:rPr>
        <w:t>ID</w:t>
      </w:r>
      <w:r>
        <w:rPr>
          <w:rFonts w:ascii="Trebuchet MS"/>
          <w:spacing w:val="-2"/>
          <w:sz w:val="18"/>
        </w:rPr>
        <w:t> </w:t>
      </w:r>
      <w:r>
        <w:rPr>
          <w:rFonts w:ascii="Trebuchet MS"/>
          <w:spacing w:val="-6"/>
          <w:sz w:val="18"/>
        </w:rPr>
        <w:t>EM/FORMAT/06/V2.0</w:t>
      </w:r>
      <w:r>
        <w:rPr>
          <w:rFonts w:ascii="Trebuchet MS"/>
          <w:spacing w:val="-4"/>
          <w:sz w:val="18"/>
        </w:rPr>
        <w:t> </w:t>
      </w:r>
      <w:r>
        <w:rPr>
          <w:rFonts w:ascii="Trebuchet MS"/>
          <w:spacing w:val="-6"/>
          <w:sz w:val="18"/>
        </w:rPr>
        <w:t>Document</w:t>
      </w:r>
      <w:r>
        <w:rPr>
          <w:rFonts w:ascii="Trebuchet MS"/>
          <w:spacing w:val="-3"/>
          <w:sz w:val="18"/>
        </w:rPr>
        <w:t> </w:t>
      </w:r>
      <w:r>
        <w:rPr>
          <w:rFonts w:ascii="Trebuchet MS"/>
          <w:spacing w:val="-6"/>
          <w:sz w:val="18"/>
        </w:rPr>
        <w:t>Version</w:t>
      </w:r>
      <w:r>
        <w:rPr>
          <w:rFonts w:ascii="Trebuchet MS"/>
          <w:spacing w:val="-1"/>
          <w:sz w:val="18"/>
        </w:rPr>
        <w:t> </w:t>
      </w:r>
      <w:r>
        <w:rPr>
          <w:rFonts w:ascii="Trebuchet MS"/>
          <w:spacing w:val="-6"/>
          <w:sz w:val="18"/>
        </w:rPr>
        <w:t>02</w:t>
      </w:r>
      <w:r>
        <w:rPr>
          <w:rFonts w:ascii="Trebuchet MS"/>
          <w:spacing w:val="-4"/>
          <w:sz w:val="18"/>
        </w:rPr>
        <w:t> </w:t>
      </w:r>
      <w:r>
        <w:rPr>
          <w:rFonts w:ascii="Trebuchet MS"/>
          <w:spacing w:val="-6"/>
          <w:sz w:val="18"/>
        </w:rPr>
        <w:t>Document</w:t>
      </w:r>
      <w:r>
        <w:rPr>
          <w:rFonts w:ascii="Trebuchet MS"/>
          <w:spacing w:val="-3"/>
          <w:sz w:val="18"/>
        </w:rPr>
        <w:t> </w:t>
      </w:r>
      <w:r>
        <w:rPr>
          <w:rFonts w:ascii="Trebuchet MS"/>
          <w:spacing w:val="-6"/>
          <w:sz w:val="18"/>
        </w:rPr>
        <w:t>Category</w:t>
      </w:r>
      <w:r>
        <w:rPr>
          <w:rFonts w:ascii="Trebuchet MS"/>
          <w:sz w:val="18"/>
        </w:rPr>
        <w:t> </w:t>
      </w:r>
      <w:r>
        <w:rPr>
          <w:rFonts w:ascii="Trebuchet MS"/>
          <w:spacing w:val="-6"/>
          <w:sz w:val="18"/>
        </w:rPr>
        <w:t>Format</w:t>
      </w:r>
      <w:r>
        <w:rPr>
          <w:rFonts w:ascii="Trebuchet MS"/>
          <w:spacing w:val="-3"/>
          <w:sz w:val="18"/>
        </w:rPr>
        <w:t> </w:t>
      </w:r>
      <w:r>
        <w:rPr>
          <w:rFonts w:ascii="Trebuchet MS"/>
          <w:spacing w:val="-6"/>
          <w:sz w:val="18"/>
        </w:rPr>
        <w:t>Issue</w:t>
      </w:r>
      <w:r>
        <w:rPr>
          <w:rFonts w:ascii="Trebuchet MS"/>
          <w:spacing w:val="-4"/>
          <w:sz w:val="18"/>
        </w:rPr>
        <w:t> </w:t>
      </w:r>
      <w:r>
        <w:rPr>
          <w:rFonts w:ascii="Trebuchet MS"/>
          <w:spacing w:val="-6"/>
          <w:sz w:val="18"/>
        </w:rPr>
        <w:t>Date</w:t>
      </w:r>
      <w:r>
        <w:rPr>
          <w:rFonts w:ascii="Trebuchet MS"/>
          <w:spacing w:val="-3"/>
          <w:sz w:val="18"/>
        </w:rPr>
        <w:t> </w:t>
      </w:r>
      <w:r>
        <w:rPr>
          <w:rFonts w:ascii="Trebuchet MS"/>
          <w:spacing w:val="-6"/>
          <w:sz w:val="18"/>
        </w:rPr>
        <w:t>05/2026</w:t>
      </w:r>
    </w:p>
    <w:p>
      <w:pPr>
        <w:pStyle w:val="BodyText"/>
        <w:spacing w:before="78"/>
        <w:rPr>
          <w:sz w:val="18"/>
        </w:rPr>
      </w:pPr>
    </w:p>
    <w:p>
      <w:pPr>
        <w:pStyle w:val="Title"/>
      </w:pPr>
      <w:r>
        <w:rPr>
          <w:color w:val="00A8DF"/>
          <w:w w:val="80"/>
        </w:rPr>
        <w:t>Template</w:t>
      </w:r>
      <w:r>
        <w:rPr>
          <w:color w:val="00A8DF"/>
          <w:spacing w:val="-15"/>
        </w:rPr>
        <w:t> </w:t>
      </w:r>
      <w:r>
        <w:rPr>
          <w:color w:val="00A8DF"/>
          <w:w w:val="80"/>
        </w:rPr>
        <w:t>for</w:t>
      </w:r>
      <w:r>
        <w:rPr>
          <w:color w:val="00A8DF"/>
          <w:spacing w:val="-1"/>
        </w:rPr>
        <w:t> </w:t>
      </w:r>
      <w:r>
        <w:rPr>
          <w:color w:val="00A8DF"/>
          <w:w w:val="80"/>
        </w:rPr>
        <w:t>PSQ</w:t>
      </w:r>
      <w:r>
        <w:rPr>
          <w:color w:val="00A8DF"/>
          <w:spacing w:val="-11"/>
        </w:rPr>
        <w:t> </w:t>
      </w:r>
      <w:r>
        <w:rPr>
          <w:color w:val="00A8DF"/>
          <w:spacing w:val="-2"/>
          <w:w w:val="80"/>
        </w:rPr>
        <w:t>Indicators</w:t>
      </w:r>
    </w:p>
    <w:p>
      <w:pPr>
        <w:pStyle w:val="BodyText"/>
        <w:spacing w:before="38"/>
        <w:rPr>
          <w:rFonts w:ascii="Franklin Gothic Medium"/>
          <w:sz w:val="20"/>
        </w:r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640" w:hRule="atLeast"/>
        </w:trPr>
        <w:tc>
          <w:tcPr>
            <w:tcW w:w="10249" w:type="dxa"/>
            <w:gridSpan w:val="8"/>
            <w:shd w:val="clear" w:color="auto" w:fill="00999D"/>
          </w:tcPr>
          <w:p>
            <w:pPr>
              <w:pStyle w:val="TableParagraph"/>
              <w:spacing w:before="10"/>
              <w:ind w:left="4" w:right="4"/>
              <w:jc w:val="center"/>
              <w:rPr>
                <w:rFonts w:ascii="Franklin Gothic Medium"/>
                <w:sz w:val="18"/>
              </w:rPr>
            </w:pPr>
            <w:r>
              <w:rPr>
                <w:rFonts w:ascii="Franklin Gothic Medium"/>
                <w:color w:val="FFFFFF"/>
                <w:sz w:val="18"/>
              </w:rPr>
              <w:t>Patient</w:t>
            </w:r>
            <w:r>
              <w:rPr>
                <w:rFonts w:ascii="Franklin Gothic Medium"/>
                <w:color w:val="FFFFFF"/>
                <w:spacing w:val="-3"/>
                <w:sz w:val="18"/>
              </w:rPr>
              <w:t> </w:t>
            </w:r>
            <w:r>
              <w:rPr>
                <w:rFonts w:ascii="Franklin Gothic Medium"/>
                <w:color w:val="FFFFFF"/>
                <w:sz w:val="18"/>
              </w:rPr>
              <w:t>Safety</w:t>
            </w:r>
            <w:r>
              <w:rPr>
                <w:rFonts w:ascii="Franklin Gothic Medium"/>
                <w:color w:val="FFFFFF"/>
                <w:spacing w:val="-3"/>
                <w:sz w:val="18"/>
              </w:rPr>
              <w:t> </w:t>
            </w:r>
            <w:r>
              <w:rPr>
                <w:rFonts w:ascii="Franklin Gothic Medium"/>
                <w:color w:val="FFFFFF"/>
                <w:sz w:val="18"/>
              </w:rPr>
              <w:t>and</w:t>
            </w:r>
            <w:r>
              <w:rPr>
                <w:rFonts w:ascii="Franklin Gothic Medium"/>
                <w:color w:val="FFFFFF"/>
                <w:spacing w:val="-5"/>
                <w:sz w:val="18"/>
              </w:rPr>
              <w:t> </w:t>
            </w:r>
            <w:r>
              <w:rPr>
                <w:rFonts w:ascii="Franklin Gothic Medium"/>
                <w:color w:val="FFFFFF"/>
                <w:sz w:val="18"/>
              </w:rPr>
              <w:t>Quality</w:t>
            </w:r>
            <w:r>
              <w:rPr>
                <w:rFonts w:ascii="Franklin Gothic Medium"/>
                <w:color w:val="FFFFFF"/>
                <w:spacing w:val="-3"/>
                <w:sz w:val="18"/>
              </w:rPr>
              <w:t> </w:t>
            </w:r>
            <w:r>
              <w:rPr>
                <w:rFonts w:ascii="Franklin Gothic Medium"/>
                <w:color w:val="FFFFFF"/>
                <w:sz w:val="18"/>
              </w:rPr>
              <w:t>Indicators</w:t>
            </w:r>
            <w:r>
              <w:rPr>
                <w:rFonts w:ascii="Franklin Gothic Medium"/>
                <w:color w:val="FFFFFF"/>
                <w:spacing w:val="-4"/>
                <w:sz w:val="18"/>
              </w:rPr>
              <w:t> </w:t>
            </w:r>
            <w:r>
              <w:rPr>
                <w:rFonts w:ascii="Franklin Gothic Medium"/>
                <w:color w:val="FFFFFF"/>
                <w:spacing w:val="-2"/>
                <w:sz w:val="18"/>
              </w:rPr>
              <w:t>Template</w:t>
            </w:r>
          </w:p>
          <w:p>
            <w:pPr>
              <w:pStyle w:val="TableParagraph"/>
              <w:spacing w:before="1"/>
              <w:ind w:left="4"/>
              <w:jc w:val="center"/>
              <w:rPr>
                <w:rFonts w:ascii="Franklin Gothic Medium"/>
                <w:sz w:val="18"/>
              </w:rPr>
            </w:pPr>
            <w:r>
              <w:rPr>
                <w:rFonts w:ascii="Franklin Gothic Medium"/>
                <w:color w:val="FFFFFF"/>
                <w:sz w:val="18"/>
              </w:rPr>
              <w:t>The</w:t>
            </w:r>
            <w:r>
              <w:rPr>
                <w:rFonts w:ascii="Franklin Gothic Medium"/>
                <w:color w:val="FFFFFF"/>
                <w:spacing w:val="-5"/>
                <w:sz w:val="18"/>
              </w:rPr>
              <w:t> </w:t>
            </w:r>
            <w:r>
              <w:rPr>
                <w:rFonts w:ascii="Franklin Gothic Medium"/>
                <w:color w:val="FFFFFF"/>
                <w:sz w:val="18"/>
              </w:rPr>
              <w:t>Key</w:t>
            </w:r>
            <w:r>
              <w:rPr>
                <w:rFonts w:ascii="Franklin Gothic Medium"/>
                <w:color w:val="FFFFFF"/>
                <w:spacing w:val="-3"/>
                <w:sz w:val="18"/>
              </w:rPr>
              <w:t> </w:t>
            </w:r>
            <w:r>
              <w:rPr>
                <w:rFonts w:ascii="Franklin Gothic Medium"/>
                <w:color w:val="FFFFFF"/>
                <w:sz w:val="18"/>
              </w:rPr>
              <w:t>performance</w:t>
            </w:r>
            <w:r>
              <w:rPr>
                <w:rFonts w:ascii="Franklin Gothic Medium"/>
                <w:color w:val="FFFFFF"/>
                <w:spacing w:val="-2"/>
                <w:sz w:val="18"/>
              </w:rPr>
              <w:t> </w:t>
            </w:r>
            <w:r>
              <w:rPr>
                <w:rFonts w:ascii="Franklin Gothic Medium"/>
                <w:color w:val="FFFFFF"/>
                <w:sz w:val="18"/>
              </w:rPr>
              <w:t>indicators</w:t>
            </w:r>
            <w:r>
              <w:rPr>
                <w:rFonts w:ascii="Franklin Gothic Medium"/>
                <w:color w:val="FFFFFF"/>
                <w:spacing w:val="-5"/>
                <w:sz w:val="18"/>
              </w:rPr>
              <w:t> </w:t>
            </w:r>
            <w:r>
              <w:rPr>
                <w:rFonts w:ascii="Franklin Gothic Medium"/>
                <w:color w:val="FFFFFF"/>
                <w:sz w:val="18"/>
              </w:rPr>
              <w:t>expected</w:t>
            </w:r>
            <w:r>
              <w:rPr>
                <w:rFonts w:ascii="Franklin Gothic Medium"/>
                <w:color w:val="FFFFFF"/>
                <w:spacing w:val="-4"/>
                <w:sz w:val="18"/>
              </w:rPr>
              <w:t> </w:t>
            </w:r>
            <w:r>
              <w:rPr>
                <w:rFonts w:ascii="Franklin Gothic Medium"/>
                <w:color w:val="FFFFFF"/>
                <w:sz w:val="18"/>
              </w:rPr>
              <w:t>to</w:t>
            </w:r>
            <w:r>
              <w:rPr>
                <w:rFonts w:ascii="Franklin Gothic Medium"/>
                <w:color w:val="FFFFFF"/>
                <w:spacing w:val="-2"/>
                <w:sz w:val="18"/>
              </w:rPr>
              <w:t> </w:t>
            </w:r>
            <w:r>
              <w:rPr>
                <w:rFonts w:ascii="Franklin Gothic Medium"/>
                <w:color w:val="FFFFFF"/>
                <w:sz w:val="18"/>
              </w:rPr>
              <w:t>be</w:t>
            </w:r>
            <w:r>
              <w:rPr>
                <w:rFonts w:ascii="Franklin Gothic Medium"/>
                <w:color w:val="FFFFFF"/>
                <w:spacing w:val="-3"/>
                <w:sz w:val="18"/>
              </w:rPr>
              <w:t> </w:t>
            </w:r>
            <w:r>
              <w:rPr>
                <w:rFonts w:ascii="Franklin Gothic Medium"/>
                <w:color w:val="FFFFFF"/>
                <w:sz w:val="18"/>
              </w:rPr>
              <w:t>monitored</w:t>
            </w:r>
            <w:r>
              <w:rPr>
                <w:rFonts w:ascii="Franklin Gothic Medium"/>
                <w:color w:val="FFFFFF"/>
                <w:spacing w:val="-4"/>
                <w:sz w:val="18"/>
              </w:rPr>
              <w:t> </w:t>
            </w:r>
            <w:r>
              <w:rPr>
                <w:rFonts w:ascii="Franklin Gothic Medium"/>
                <w:color w:val="FFFFFF"/>
                <w:sz w:val="18"/>
              </w:rPr>
              <w:t>by</w:t>
            </w:r>
            <w:r>
              <w:rPr>
                <w:rFonts w:ascii="Franklin Gothic Medium"/>
                <w:color w:val="FFFFFF"/>
                <w:spacing w:val="-3"/>
                <w:sz w:val="18"/>
              </w:rPr>
              <w:t> </w:t>
            </w:r>
            <w:r>
              <w:rPr>
                <w:rFonts w:ascii="Franklin Gothic Medium"/>
                <w:color w:val="FFFFFF"/>
                <w:sz w:val="18"/>
              </w:rPr>
              <w:t>healthcare</w:t>
            </w:r>
            <w:r>
              <w:rPr>
                <w:rFonts w:ascii="Franklin Gothic Medium"/>
                <w:color w:val="FFFFFF"/>
                <w:spacing w:val="-2"/>
                <w:sz w:val="18"/>
              </w:rPr>
              <w:t> organizations:</w:t>
            </w:r>
          </w:p>
        </w:tc>
      </w:tr>
      <w:tr>
        <w:trPr>
          <w:trHeight w:val="825" w:hRule="atLeast"/>
        </w:trPr>
        <w:tc>
          <w:tcPr>
            <w:tcW w:w="596" w:type="dxa"/>
            <w:shd w:val="clear" w:color="auto" w:fill="00999D"/>
          </w:tcPr>
          <w:p>
            <w:pPr>
              <w:pStyle w:val="TableParagraph"/>
              <w:spacing w:before="2"/>
              <w:rPr>
                <w:rFonts w:ascii="Franklin Gothic Medium"/>
                <w:sz w:val="18"/>
              </w:rPr>
            </w:pPr>
          </w:p>
          <w:p>
            <w:pPr>
              <w:pStyle w:val="TableParagraph"/>
              <w:spacing w:line="206" w:lineRule="exact"/>
              <w:ind w:left="16" w:right="2"/>
              <w:jc w:val="center"/>
              <w:rPr>
                <w:rFonts w:ascii="Arial"/>
                <w:b/>
                <w:sz w:val="18"/>
              </w:rPr>
            </w:pPr>
            <w:r>
              <w:rPr>
                <w:rFonts w:ascii="Arial"/>
                <w:b/>
                <w:color w:val="FFFFFF"/>
                <w:spacing w:val="-5"/>
                <w:sz w:val="18"/>
              </w:rPr>
              <w:t>S.N</w:t>
            </w:r>
          </w:p>
          <w:p>
            <w:pPr>
              <w:pStyle w:val="TableParagraph"/>
              <w:spacing w:line="206" w:lineRule="exact"/>
              <w:ind w:left="16" w:right="1"/>
              <w:jc w:val="center"/>
              <w:rPr>
                <w:rFonts w:ascii="Arial"/>
                <w:b/>
                <w:sz w:val="18"/>
              </w:rPr>
            </w:pPr>
            <w:r>
              <w:rPr>
                <w:rFonts w:ascii="Arial"/>
                <w:b/>
                <w:color w:val="FFFFFF"/>
                <w:spacing w:val="-5"/>
                <w:sz w:val="18"/>
              </w:rPr>
              <w:t>o.</w:t>
            </w:r>
          </w:p>
        </w:tc>
        <w:tc>
          <w:tcPr>
            <w:tcW w:w="1001" w:type="dxa"/>
            <w:shd w:val="clear" w:color="auto" w:fill="00999D"/>
          </w:tcPr>
          <w:p>
            <w:pPr>
              <w:pStyle w:val="TableParagraph"/>
              <w:spacing w:before="107"/>
              <w:rPr>
                <w:rFonts w:ascii="Franklin Gothic Medium"/>
                <w:sz w:val="18"/>
              </w:rPr>
            </w:pPr>
          </w:p>
          <w:p>
            <w:pPr>
              <w:pStyle w:val="TableParagraph"/>
              <w:ind w:left="109"/>
              <w:rPr>
                <w:rFonts w:ascii="Arial"/>
                <w:b/>
                <w:sz w:val="18"/>
              </w:rPr>
            </w:pPr>
            <w:r>
              <w:rPr>
                <w:rFonts w:ascii="Arial"/>
                <w:b/>
                <w:color w:val="FFFFFF"/>
                <w:spacing w:val="-2"/>
                <w:sz w:val="18"/>
              </w:rPr>
              <w:t>Standard</w:t>
            </w:r>
          </w:p>
        </w:tc>
        <w:tc>
          <w:tcPr>
            <w:tcW w:w="1066" w:type="dxa"/>
            <w:shd w:val="clear" w:color="auto" w:fill="00999D"/>
          </w:tcPr>
          <w:p>
            <w:pPr>
              <w:pStyle w:val="TableParagraph"/>
              <w:spacing w:before="1"/>
              <w:ind w:left="104"/>
              <w:rPr>
                <w:rFonts w:ascii="Arial"/>
                <w:b/>
                <w:sz w:val="18"/>
              </w:rPr>
            </w:pPr>
            <w:r>
              <w:rPr>
                <w:rFonts w:ascii="Arial"/>
                <w:b/>
                <w:color w:val="FFFFFF"/>
                <w:spacing w:val="-2"/>
                <w:sz w:val="18"/>
              </w:rPr>
              <w:t>Indicator</w:t>
            </w:r>
          </w:p>
        </w:tc>
        <w:tc>
          <w:tcPr>
            <w:tcW w:w="1306" w:type="dxa"/>
            <w:shd w:val="clear" w:color="auto" w:fill="00999D"/>
          </w:tcPr>
          <w:p>
            <w:pPr>
              <w:pStyle w:val="TableParagraph"/>
              <w:spacing w:before="1"/>
              <w:ind w:left="103"/>
              <w:rPr>
                <w:rFonts w:ascii="Arial"/>
                <w:b/>
                <w:sz w:val="18"/>
              </w:rPr>
            </w:pPr>
            <w:r>
              <w:rPr>
                <w:rFonts w:ascii="Arial"/>
                <w:b/>
                <w:color w:val="FFFFFF"/>
                <w:spacing w:val="-2"/>
                <w:sz w:val="18"/>
              </w:rPr>
              <w:t>Definition</w:t>
            </w:r>
          </w:p>
        </w:tc>
        <w:tc>
          <w:tcPr>
            <w:tcW w:w="1281" w:type="dxa"/>
            <w:shd w:val="clear" w:color="auto" w:fill="00999D"/>
          </w:tcPr>
          <w:p>
            <w:pPr>
              <w:pStyle w:val="TableParagraph"/>
              <w:spacing w:before="1"/>
              <w:ind w:left="103"/>
              <w:rPr>
                <w:rFonts w:ascii="Arial"/>
                <w:b/>
                <w:sz w:val="18"/>
              </w:rPr>
            </w:pPr>
            <w:r>
              <w:rPr>
                <w:rFonts w:ascii="Arial"/>
                <w:b/>
                <w:color w:val="FFFFFF"/>
                <w:spacing w:val="-2"/>
                <w:sz w:val="18"/>
              </w:rPr>
              <w:t>Formula</w:t>
            </w:r>
          </w:p>
        </w:tc>
        <w:tc>
          <w:tcPr>
            <w:tcW w:w="901" w:type="dxa"/>
            <w:shd w:val="clear" w:color="auto" w:fill="00999D"/>
          </w:tcPr>
          <w:p>
            <w:pPr>
              <w:pStyle w:val="TableParagraph"/>
              <w:spacing w:before="1"/>
              <w:ind w:left="107"/>
              <w:rPr>
                <w:rFonts w:ascii="Arial"/>
                <w:b/>
                <w:sz w:val="18"/>
              </w:rPr>
            </w:pPr>
            <w:r>
              <w:rPr>
                <w:rFonts w:ascii="Arial"/>
                <w:b/>
                <w:color w:val="FFFFFF"/>
                <w:spacing w:val="-4"/>
                <w:sz w:val="18"/>
              </w:rPr>
              <w:t>Unit</w:t>
            </w:r>
          </w:p>
        </w:tc>
        <w:tc>
          <w:tcPr>
            <w:tcW w:w="1366" w:type="dxa"/>
            <w:shd w:val="clear" w:color="auto" w:fill="00999D"/>
          </w:tcPr>
          <w:p>
            <w:pPr>
              <w:pStyle w:val="TableParagraph"/>
              <w:spacing w:before="1"/>
              <w:ind w:left="101" w:right="121"/>
              <w:rPr>
                <w:rFonts w:ascii="Arial"/>
                <w:b/>
                <w:sz w:val="18"/>
              </w:rPr>
            </w:pPr>
            <w:r>
              <w:rPr>
                <w:rFonts w:ascii="Arial"/>
                <w:b/>
                <w:color w:val="FFFFFF"/>
                <w:sz w:val="18"/>
              </w:rPr>
              <w:t>Frequency</w:t>
            </w:r>
            <w:r>
              <w:rPr>
                <w:rFonts w:ascii="Arial"/>
                <w:b/>
                <w:color w:val="FFFFFF"/>
                <w:spacing w:val="-13"/>
                <w:sz w:val="18"/>
              </w:rPr>
              <w:t> </w:t>
            </w:r>
            <w:r>
              <w:rPr>
                <w:rFonts w:ascii="Arial"/>
                <w:b/>
                <w:color w:val="FFFFFF"/>
                <w:sz w:val="18"/>
              </w:rPr>
              <w:t>of </w:t>
            </w:r>
            <w:r>
              <w:rPr>
                <w:rFonts w:ascii="Arial"/>
                <w:b/>
                <w:color w:val="FFFFFF"/>
                <w:spacing w:val="-4"/>
                <w:sz w:val="18"/>
              </w:rPr>
              <w:t>data</w:t>
            </w:r>
            <w:r>
              <w:rPr>
                <w:rFonts w:ascii="Arial"/>
                <w:b/>
                <w:color w:val="FFFFFF"/>
                <w:spacing w:val="40"/>
                <w:sz w:val="18"/>
              </w:rPr>
              <w:t> </w:t>
            </w:r>
            <w:r>
              <w:rPr>
                <w:rFonts w:ascii="Arial"/>
                <w:b/>
                <w:color w:val="FFFFFF"/>
                <w:spacing w:val="-2"/>
                <w:sz w:val="18"/>
              </w:rPr>
              <w:t>collation/</w:t>
            </w:r>
          </w:p>
          <w:p>
            <w:pPr>
              <w:pStyle w:val="TableParagraph"/>
              <w:spacing w:line="183" w:lineRule="exact"/>
              <w:ind w:left="101"/>
              <w:rPr>
                <w:rFonts w:ascii="Arial"/>
                <w:b/>
                <w:sz w:val="18"/>
              </w:rPr>
            </w:pPr>
            <w:r>
              <w:rPr>
                <w:rFonts w:ascii="Arial"/>
                <w:b/>
                <w:color w:val="FFFFFF"/>
                <w:spacing w:val="-2"/>
                <w:sz w:val="18"/>
              </w:rPr>
              <w:t>Monitoring</w:t>
            </w:r>
          </w:p>
        </w:tc>
        <w:tc>
          <w:tcPr>
            <w:tcW w:w="2732" w:type="dxa"/>
            <w:shd w:val="clear" w:color="auto" w:fill="00999D"/>
          </w:tcPr>
          <w:p>
            <w:pPr>
              <w:pStyle w:val="TableParagraph"/>
              <w:spacing w:before="1"/>
              <w:ind w:left="101"/>
              <w:rPr>
                <w:rFonts w:ascii="Arial"/>
                <w:b/>
                <w:sz w:val="18"/>
              </w:rPr>
            </w:pPr>
            <w:r>
              <w:rPr>
                <w:rFonts w:ascii="Arial"/>
                <w:b/>
                <w:color w:val="FFFFFF"/>
                <w:spacing w:val="-2"/>
                <w:sz w:val="18"/>
              </w:rPr>
              <w:t>Remarks</w:t>
            </w:r>
          </w:p>
        </w:tc>
      </w:tr>
      <w:tr>
        <w:trPr>
          <w:trHeight w:val="230" w:hRule="atLeast"/>
        </w:trPr>
        <w:tc>
          <w:tcPr>
            <w:tcW w:w="596" w:type="dxa"/>
            <w:tcBorders>
              <w:bottom w:val="nil"/>
            </w:tcBorders>
          </w:tcPr>
          <w:p>
            <w:pPr>
              <w:pStyle w:val="TableParagraph"/>
              <w:rPr>
                <w:rFonts w:ascii="Times New Roman"/>
                <w:sz w:val="16"/>
              </w:rPr>
            </w:pPr>
          </w:p>
        </w:tc>
        <w:tc>
          <w:tcPr>
            <w:tcW w:w="1001" w:type="dxa"/>
            <w:tcBorders>
              <w:bottom w:val="nil"/>
            </w:tcBorders>
          </w:tcPr>
          <w:p>
            <w:pPr>
              <w:pStyle w:val="TableParagraph"/>
              <w:rPr>
                <w:rFonts w:ascii="Times New Roman"/>
                <w:sz w:val="16"/>
              </w:rPr>
            </w:pPr>
          </w:p>
        </w:tc>
        <w:tc>
          <w:tcPr>
            <w:tcW w:w="1066" w:type="dxa"/>
            <w:tcBorders>
              <w:bottom w:val="nil"/>
            </w:tcBorders>
          </w:tcPr>
          <w:p>
            <w:pPr>
              <w:pStyle w:val="TableParagraph"/>
              <w:rPr>
                <w:rFonts w:ascii="Times New Roman"/>
                <w:sz w:val="16"/>
              </w:rPr>
            </w:pPr>
          </w:p>
        </w:tc>
        <w:tc>
          <w:tcPr>
            <w:tcW w:w="1306" w:type="dxa"/>
            <w:vMerge w:val="restart"/>
          </w:tcPr>
          <w:p>
            <w:pPr>
              <w:pStyle w:val="TableParagraph"/>
              <w:rPr>
                <w:rFonts w:ascii="Times New Roman"/>
                <w:sz w:val="18"/>
              </w:rPr>
            </w:pPr>
          </w:p>
        </w:tc>
        <w:tc>
          <w:tcPr>
            <w:tcW w:w="1281" w:type="dxa"/>
            <w:tcBorders>
              <w:bottom w:val="nil"/>
            </w:tcBorders>
          </w:tcPr>
          <w:p>
            <w:pPr>
              <w:pStyle w:val="TableParagraph"/>
              <w:spacing w:line="210" w:lineRule="exact"/>
              <w:ind w:left="103"/>
              <w:rPr>
                <w:sz w:val="18"/>
              </w:rPr>
            </w:pPr>
            <w:r>
              <w:rPr>
                <w:sz w:val="18"/>
              </w:rPr>
              <w:t>(Number</w:t>
            </w:r>
            <w:r>
              <w:rPr>
                <w:spacing w:val="1"/>
                <w:sz w:val="18"/>
              </w:rPr>
              <w:t> </w:t>
            </w:r>
            <w:r>
              <w:rPr>
                <w:spacing w:val="-5"/>
                <w:sz w:val="18"/>
              </w:rPr>
              <w:t>of</w:t>
            </w:r>
          </w:p>
        </w:tc>
        <w:tc>
          <w:tcPr>
            <w:tcW w:w="901" w:type="dxa"/>
            <w:tcBorders>
              <w:bottom w:val="nil"/>
            </w:tcBorders>
          </w:tcPr>
          <w:p>
            <w:pPr>
              <w:pStyle w:val="TableParagraph"/>
              <w:spacing w:line="210" w:lineRule="exact"/>
              <w:ind w:left="107"/>
              <w:rPr>
                <w:sz w:val="18"/>
              </w:rPr>
            </w:pPr>
            <w:r>
              <w:rPr>
                <w:spacing w:val="-2"/>
                <w:sz w:val="18"/>
              </w:rPr>
              <w:t>/1000</w:t>
            </w:r>
          </w:p>
        </w:tc>
        <w:tc>
          <w:tcPr>
            <w:tcW w:w="1366" w:type="dxa"/>
            <w:tcBorders>
              <w:bottom w:val="nil"/>
            </w:tcBorders>
          </w:tcPr>
          <w:p>
            <w:pPr>
              <w:pStyle w:val="TableParagraph"/>
              <w:spacing w:line="210" w:lineRule="exact"/>
              <w:ind w:left="101"/>
              <w:rPr>
                <w:sz w:val="18"/>
              </w:rPr>
            </w:pPr>
            <w:r>
              <w:rPr>
                <w:spacing w:val="-2"/>
                <w:sz w:val="18"/>
              </w:rPr>
              <w:t>Monthly</w:t>
            </w:r>
          </w:p>
        </w:tc>
        <w:tc>
          <w:tcPr>
            <w:tcW w:w="2732" w:type="dxa"/>
            <w:tcBorders>
              <w:bottom w:val="nil"/>
            </w:tcBorders>
          </w:tcPr>
          <w:p>
            <w:pPr>
              <w:pStyle w:val="TableParagraph"/>
              <w:rPr>
                <w:rFonts w:ascii="Times New Roman"/>
                <w:sz w:val="16"/>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z w:val="18"/>
              </w:rPr>
              <w:t>Catheter-</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pacing w:val="-2"/>
                <w:sz w:val="18"/>
              </w:rPr>
              <w:t>urinary</w:t>
            </w:r>
          </w:p>
        </w:tc>
        <w:tc>
          <w:tcPr>
            <w:tcW w:w="901" w:type="dxa"/>
            <w:tcBorders>
              <w:top w:val="nil"/>
              <w:bottom w:val="nil"/>
            </w:tcBorders>
          </w:tcPr>
          <w:p>
            <w:pPr>
              <w:pStyle w:val="TableParagraph"/>
              <w:spacing w:line="190" w:lineRule="exact"/>
              <w:ind w:left="107"/>
              <w:rPr>
                <w:sz w:val="18"/>
              </w:rPr>
            </w:pPr>
            <w:r>
              <w:rPr>
                <w:spacing w:val="-2"/>
                <w:sz w:val="18"/>
              </w:rPr>
              <w:t>urinary</w:t>
            </w: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pacing w:val="-2"/>
                <w:sz w:val="18"/>
              </w:rPr>
              <w:t>associated</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z w:val="18"/>
              </w:rPr>
              <w:t>catheter-</w:t>
            </w:r>
          </w:p>
        </w:tc>
        <w:tc>
          <w:tcPr>
            <w:tcW w:w="901" w:type="dxa"/>
            <w:tcBorders>
              <w:top w:val="nil"/>
              <w:bottom w:val="nil"/>
            </w:tcBorders>
          </w:tcPr>
          <w:p>
            <w:pPr>
              <w:pStyle w:val="TableParagraph"/>
              <w:spacing w:line="190" w:lineRule="exact"/>
              <w:ind w:left="107"/>
              <w:rPr>
                <w:sz w:val="18"/>
              </w:rPr>
            </w:pPr>
            <w:r>
              <w:rPr>
                <w:sz w:val="18"/>
              </w:rPr>
              <w:t>catheter-</w:t>
            </w: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pacing w:val="-2"/>
                <w:sz w:val="18"/>
              </w:rPr>
              <w:t>Urinary</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pacing w:val="-2"/>
                <w:sz w:val="18"/>
              </w:rPr>
              <w:t>associated</w:t>
            </w:r>
          </w:p>
        </w:tc>
        <w:tc>
          <w:tcPr>
            <w:tcW w:w="901" w:type="dxa"/>
            <w:tcBorders>
              <w:top w:val="nil"/>
              <w:bottom w:val="nil"/>
            </w:tcBorders>
          </w:tcPr>
          <w:p>
            <w:pPr>
              <w:pStyle w:val="TableParagraph"/>
              <w:spacing w:line="190" w:lineRule="exact"/>
              <w:ind w:left="107"/>
              <w:rPr>
                <w:sz w:val="18"/>
              </w:rPr>
            </w:pPr>
            <w:r>
              <w:rPr>
                <w:spacing w:val="-4"/>
                <w:sz w:val="18"/>
              </w:rPr>
              <w:t>days</w:t>
            </w: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pacing w:val="-2"/>
                <w:sz w:val="18"/>
              </w:rPr>
              <w:t>tract</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z w:val="18"/>
              </w:rPr>
              <w:t>UTIs</w:t>
            </w:r>
            <w:r>
              <w:rPr>
                <w:spacing w:val="-5"/>
                <w:sz w:val="18"/>
              </w:rPr>
              <w:t> </w:t>
            </w:r>
            <w:r>
              <w:rPr>
                <w:sz w:val="18"/>
              </w:rPr>
              <w:t>in</w:t>
            </w:r>
            <w:r>
              <w:rPr>
                <w:spacing w:val="-2"/>
                <w:sz w:val="18"/>
              </w:rPr>
              <w:t> </w:t>
            </w:r>
            <w:r>
              <w:rPr>
                <w:spacing w:val="-10"/>
                <w:sz w:val="18"/>
              </w:rPr>
              <w:t>a</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spacing w:line="190" w:lineRule="exact"/>
              <w:ind w:left="101"/>
              <w:rPr>
                <w:sz w:val="18"/>
              </w:rPr>
            </w:pPr>
            <w:r>
              <w:rPr>
                <w:sz w:val="18"/>
              </w:rPr>
              <w:t>Sampling:</w:t>
            </w:r>
            <w:r>
              <w:rPr>
                <w:spacing w:val="-2"/>
                <w:sz w:val="18"/>
              </w:rPr>
              <w:t> </w:t>
            </w:r>
            <w:r>
              <w:rPr>
                <w:spacing w:val="-5"/>
                <w:sz w:val="18"/>
              </w:rPr>
              <w:t>No</w:t>
            </w: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pacing w:val="-2"/>
                <w:sz w:val="18"/>
              </w:rPr>
              <w:t>infection</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pacing w:val="-2"/>
                <w:sz w:val="18"/>
              </w:rPr>
              <w:t>month/</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spacing w:line="190" w:lineRule="exact"/>
              <w:ind w:left="104"/>
              <w:rPr>
                <w:sz w:val="18"/>
              </w:rPr>
            </w:pPr>
            <w:r>
              <w:rPr>
                <w:spacing w:val="-4"/>
                <w:sz w:val="18"/>
              </w:rPr>
              <w:t>rate</w:t>
            </w: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z w:val="18"/>
              </w:rPr>
              <w:t>Number </w:t>
            </w:r>
            <w:r>
              <w:rPr>
                <w:spacing w:val="-5"/>
                <w:sz w:val="18"/>
              </w:rPr>
              <w:t>of</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7" w:hRule="atLeast"/>
        </w:trPr>
        <w:tc>
          <w:tcPr>
            <w:tcW w:w="596" w:type="dxa"/>
            <w:tcBorders>
              <w:top w:val="nil"/>
              <w:bottom w:val="nil"/>
            </w:tcBorders>
          </w:tcPr>
          <w:p>
            <w:pPr>
              <w:pStyle w:val="TableParagraph"/>
              <w:spacing w:line="198" w:lineRule="exact"/>
              <w:ind w:left="16"/>
              <w:jc w:val="center"/>
              <w:rPr>
                <w:sz w:val="18"/>
              </w:rPr>
            </w:pPr>
            <w:r>
              <w:rPr>
                <w:spacing w:val="-10"/>
                <w:sz w:val="18"/>
              </w:rPr>
              <w:t>1</w:t>
            </w:r>
          </w:p>
        </w:tc>
        <w:tc>
          <w:tcPr>
            <w:tcW w:w="1001" w:type="dxa"/>
            <w:tcBorders>
              <w:top w:val="nil"/>
              <w:bottom w:val="nil"/>
            </w:tcBorders>
          </w:tcPr>
          <w:p>
            <w:pPr>
              <w:pStyle w:val="TableParagraph"/>
              <w:spacing w:line="198" w:lineRule="exact"/>
              <w:ind w:left="109"/>
              <w:rPr>
                <w:b/>
                <w:sz w:val="18"/>
              </w:rPr>
            </w:pPr>
            <w:r>
              <w:rPr>
                <w:b/>
                <w:spacing w:val="-2"/>
                <w:sz w:val="18"/>
              </w:rPr>
              <w:t>PSQ.2.a</w:t>
            </w:r>
          </w:p>
        </w:tc>
        <w:tc>
          <w:tcPr>
            <w:tcW w:w="1066" w:type="dxa"/>
            <w:tcBorders>
              <w:top w:val="nil"/>
              <w:bottom w:val="nil"/>
            </w:tcBorders>
          </w:tcPr>
          <w:p>
            <w:pPr>
              <w:pStyle w:val="TableParagraph"/>
              <w:rPr>
                <w:rFonts w:ascii="Times New Roman"/>
                <w:sz w:val="14"/>
              </w:rPr>
            </w:pP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8" w:lineRule="exact"/>
              <w:ind w:left="103"/>
              <w:rPr>
                <w:sz w:val="18"/>
              </w:rPr>
            </w:pPr>
            <w:r>
              <w:rPr>
                <w:spacing w:val="-2"/>
                <w:sz w:val="18"/>
              </w:rPr>
              <w:t>urinary</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02"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rPr>
                <w:rFonts w:ascii="Times New Roman"/>
                <w:sz w:val="14"/>
              </w:rPr>
            </w:pPr>
          </w:p>
        </w:tc>
        <w:tc>
          <w:tcPr>
            <w:tcW w:w="1306" w:type="dxa"/>
            <w:vMerge/>
            <w:tcBorders>
              <w:top w:val="nil"/>
            </w:tcBorders>
          </w:tcPr>
          <w:p>
            <w:pPr>
              <w:rPr>
                <w:sz w:val="2"/>
                <w:szCs w:val="2"/>
              </w:rPr>
            </w:pPr>
          </w:p>
        </w:tc>
        <w:tc>
          <w:tcPr>
            <w:tcW w:w="1281" w:type="dxa"/>
            <w:tcBorders>
              <w:top w:val="nil"/>
              <w:bottom w:val="nil"/>
            </w:tcBorders>
          </w:tcPr>
          <w:p>
            <w:pPr>
              <w:pStyle w:val="TableParagraph"/>
              <w:spacing w:line="183" w:lineRule="exact"/>
              <w:ind w:left="103"/>
              <w:rPr>
                <w:sz w:val="18"/>
              </w:rPr>
            </w:pPr>
            <w:r>
              <w:rPr>
                <w:sz w:val="18"/>
              </w:rPr>
              <w:t>catheter</w:t>
            </w:r>
            <w:r>
              <w:rPr>
                <w:spacing w:val="-5"/>
                <w:sz w:val="18"/>
              </w:rPr>
              <w:t> </w:t>
            </w:r>
            <w:r>
              <w:rPr>
                <w:spacing w:val="-4"/>
                <w:sz w:val="18"/>
              </w:rPr>
              <w:t>days</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210" w:hRule="atLeast"/>
        </w:trPr>
        <w:tc>
          <w:tcPr>
            <w:tcW w:w="596" w:type="dxa"/>
            <w:tcBorders>
              <w:top w:val="nil"/>
              <w:bottom w:val="nil"/>
            </w:tcBorders>
          </w:tcPr>
          <w:p>
            <w:pPr>
              <w:pStyle w:val="TableParagraph"/>
              <w:rPr>
                <w:rFonts w:ascii="Times New Roman"/>
                <w:sz w:val="14"/>
              </w:rPr>
            </w:pPr>
          </w:p>
        </w:tc>
        <w:tc>
          <w:tcPr>
            <w:tcW w:w="1001" w:type="dxa"/>
            <w:tcBorders>
              <w:top w:val="nil"/>
              <w:bottom w:val="nil"/>
            </w:tcBorders>
          </w:tcPr>
          <w:p>
            <w:pPr>
              <w:pStyle w:val="TableParagraph"/>
              <w:rPr>
                <w:rFonts w:ascii="Times New Roman"/>
                <w:sz w:val="14"/>
              </w:rPr>
            </w:pPr>
          </w:p>
        </w:tc>
        <w:tc>
          <w:tcPr>
            <w:tcW w:w="1066" w:type="dxa"/>
            <w:tcBorders>
              <w:top w:val="nil"/>
              <w:bottom w:val="nil"/>
            </w:tcBorders>
          </w:tcPr>
          <w:p>
            <w:pPr>
              <w:pStyle w:val="TableParagraph"/>
              <w:rPr>
                <w:rFonts w:ascii="Times New Roman"/>
                <w:sz w:val="14"/>
              </w:rPr>
            </w:pPr>
          </w:p>
        </w:tc>
        <w:tc>
          <w:tcPr>
            <w:tcW w:w="1306" w:type="dxa"/>
            <w:vMerge/>
            <w:tcBorders>
              <w:top w:val="nil"/>
            </w:tcBorders>
          </w:tcPr>
          <w:p>
            <w:pPr>
              <w:rPr>
                <w:sz w:val="2"/>
                <w:szCs w:val="2"/>
              </w:rPr>
            </w:pPr>
          </w:p>
        </w:tc>
        <w:tc>
          <w:tcPr>
            <w:tcW w:w="1281" w:type="dxa"/>
            <w:tcBorders>
              <w:top w:val="nil"/>
              <w:bottom w:val="nil"/>
            </w:tcBorders>
          </w:tcPr>
          <w:p>
            <w:pPr>
              <w:pStyle w:val="TableParagraph"/>
              <w:spacing w:line="190" w:lineRule="exact"/>
              <w:ind w:left="103"/>
              <w:rPr>
                <w:sz w:val="18"/>
              </w:rPr>
            </w:pPr>
            <w:r>
              <w:rPr>
                <w:sz w:val="18"/>
              </w:rPr>
              <w:t>in</w:t>
            </w:r>
            <w:r>
              <w:rPr>
                <w:spacing w:val="-3"/>
                <w:sz w:val="18"/>
              </w:rPr>
              <w:t> </w:t>
            </w:r>
            <w:r>
              <w:rPr>
                <w:spacing w:val="-4"/>
                <w:sz w:val="18"/>
              </w:rPr>
              <w:t>that</w:t>
            </w: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1105" w:hRule="atLeast"/>
        </w:trPr>
        <w:tc>
          <w:tcPr>
            <w:tcW w:w="596" w:type="dxa"/>
            <w:tcBorders>
              <w:top w:val="nil"/>
            </w:tcBorders>
          </w:tcPr>
          <w:p>
            <w:pPr>
              <w:pStyle w:val="TableParagraph"/>
              <w:rPr>
                <w:rFonts w:ascii="Times New Roman"/>
                <w:sz w:val="18"/>
              </w:rPr>
            </w:pPr>
          </w:p>
        </w:tc>
        <w:tc>
          <w:tcPr>
            <w:tcW w:w="1001" w:type="dxa"/>
            <w:tcBorders>
              <w:top w:val="nil"/>
            </w:tcBorders>
          </w:tcPr>
          <w:p>
            <w:pPr>
              <w:pStyle w:val="TableParagraph"/>
              <w:rPr>
                <w:rFonts w:ascii="Times New Roman"/>
                <w:sz w:val="18"/>
              </w:rPr>
            </w:pPr>
          </w:p>
        </w:tc>
        <w:tc>
          <w:tcPr>
            <w:tcW w:w="1066" w:type="dxa"/>
            <w:tcBorders>
              <w:top w:val="nil"/>
            </w:tcBorders>
          </w:tcPr>
          <w:p>
            <w:pPr>
              <w:pStyle w:val="TableParagraph"/>
              <w:rPr>
                <w:rFonts w:ascii="Times New Roman"/>
                <w:sz w:val="18"/>
              </w:rPr>
            </w:pPr>
          </w:p>
        </w:tc>
        <w:tc>
          <w:tcPr>
            <w:tcW w:w="1306" w:type="dxa"/>
            <w:vMerge/>
            <w:tcBorders>
              <w:top w:val="nil"/>
            </w:tcBorders>
          </w:tcPr>
          <w:p>
            <w:pPr>
              <w:rPr>
                <w:sz w:val="2"/>
                <w:szCs w:val="2"/>
              </w:rPr>
            </w:pPr>
          </w:p>
        </w:tc>
        <w:tc>
          <w:tcPr>
            <w:tcW w:w="1281" w:type="dxa"/>
            <w:tcBorders>
              <w:top w:val="nil"/>
            </w:tcBorders>
          </w:tcPr>
          <w:p>
            <w:pPr>
              <w:pStyle w:val="TableParagraph"/>
              <w:spacing w:line="198" w:lineRule="exact"/>
              <w:ind w:left="103"/>
              <w:rPr>
                <w:sz w:val="18"/>
              </w:rPr>
            </w:pPr>
            <w:r>
              <w:rPr>
                <w:spacing w:val="-2"/>
                <w:sz w:val="18"/>
              </w:rPr>
              <w:t>month)*1000</w:t>
            </w:r>
          </w:p>
        </w:tc>
        <w:tc>
          <w:tcPr>
            <w:tcW w:w="901" w:type="dxa"/>
            <w:tcBorders>
              <w:top w:val="nil"/>
            </w:tcBorders>
          </w:tcPr>
          <w:p>
            <w:pPr>
              <w:pStyle w:val="TableParagraph"/>
              <w:rPr>
                <w:rFonts w:ascii="Times New Roman"/>
                <w:sz w:val="18"/>
              </w:rPr>
            </w:pPr>
          </w:p>
        </w:tc>
        <w:tc>
          <w:tcPr>
            <w:tcW w:w="1366" w:type="dxa"/>
            <w:tcBorders>
              <w:top w:val="nil"/>
            </w:tcBorders>
          </w:tcPr>
          <w:p>
            <w:pPr>
              <w:pStyle w:val="TableParagraph"/>
              <w:rPr>
                <w:rFonts w:ascii="Times New Roman"/>
                <w:sz w:val="18"/>
              </w:rPr>
            </w:pPr>
          </w:p>
        </w:tc>
        <w:tc>
          <w:tcPr>
            <w:tcW w:w="2732" w:type="dxa"/>
            <w:tcBorders>
              <w:top w:val="nil"/>
            </w:tcBorders>
          </w:tcPr>
          <w:p>
            <w:pPr>
              <w:pStyle w:val="TableParagraph"/>
              <w:rPr>
                <w:rFonts w:ascii="Times New Roman"/>
                <w:sz w:val="18"/>
              </w:rPr>
            </w:pPr>
          </w:p>
        </w:tc>
      </w:tr>
    </w:tbl>
    <w:p>
      <w:pPr>
        <w:pStyle w:val="TableParagraph"/>
        <w:spacing w:after="0"/>
        <w:rPr>
          <w:rFonts w:ascii="Times New Roman"/>
          <w:sz w:val="18"/>
        </w:rPr>
        <w:sectPr>
          <w:headerReference w:type="default" r:id="rId5"/>
          <w:type w:val="continuous"/>
          <w:pgSz w:w="10800" w:h="15600"/>
          <w:pgMar w:header="232" w:footer="0" w:top="1040" w:bottom="280" w:left="360" w:right="0"/>
          <w:pgNumType w:start="1"/>
        </w:sect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4846" w:hRule="atLeast"/>
        </w:trPr>
        <w:tc>
          <w:tcPr>
            <w:tcW w:w="596" w:type="dxa"/>
            <w:tcBorders>
              <w:bottom w:val="nil"/>
            </w:tcBorders>
          </w:tcPr>
          <w:p>
            <w:pPr>
              <w:pStyle w:val="TableParagraph"/>
              <w:rPr>
                <w:rFonts w:ascii="Times New Roman"/>
                <w:sz w:val="18"/>
              </w:rPr>
            </w:pPr>
          </w:p>
        </w:tc>
        <w:tc>
          <w:tcPr>
            <w:tcW w:w="1001" w:type="dxa"/>
            <w:tcBorders>
              <w:bottom w:val="nil"/>
            </w:tcBorders>
          </w:tcPr>
          <w:p>
            <w:pPr>
              <w:pStyle w:val="TableParagraph"/>
              <w:rPr>
                <w:rFonts w:ascii="Times New Roman"/>
                <w:sz w:val="18"/>
              </w:rPr>
            </w:pPr>
          </w:p>
        </w:tc>
        <w:tc>
          <w:tcPr>
            <w:tcW w:w="1066" w:type="dxa"/>
            <w:tcBorders>
              <w:bottom w:val="nil"/>
            </w:tcBorders>
          </w:tcPr>
          <w:p>
            <w:pPr>
              <w:pStyle w:val="TableParagraph"/>
              <w:rPr>
                <w:rFonts w:ascii="Franklin Gothic Medium"/>
                <w:sz w:val="18"/>
              </w:rPr>
            </w:pPr>
          </w:p>
          <w:p>
            <w:pPr>
              <w:pStyle w:val="TableParagraph"/>
              <w:rPr>
                <w:rFonts w:ascii="Franklin Gothic Medium"/>
                <w:sz w:val="18"/>
              </w:rPr>
            </w:pPr>
          </w:p>
          <w:p>
            <w:pPr>
              <w:pStyle w:val="TableParagraph"/>
              <w:spacing w:before="46"/>
              <w:rPr>
                <w:rFonts w:ascii="Franklin Gothic Medium"/>
                <w:sz w:val="18"/>
              </w:rPr>
            </w:pPr>
          </w:p>
          <w:p>
            <w:pPr>
              <w:pStyle w:val="TableParagraph"/>
              <w:ind w:left="104" w:right="302"/>
              <w:rPr>
                <w:sz w:val="18"/>
              </w:rPr>
            </w:pPr>
            <w:r>
              <w:rPr>
                <w:spacing w:val="-2"/>
                <w:sz w:val="18"/>
              </w:rPr>
              <w:t>Surgical</w:t>
            </w:r>
            <w:r>
              <w:rPr>
                <w:sz w:val="18"/>
              </w:rPr>
              <w:t> </w:t>
            </w:r>
            <w:r>
              <w:rPr>
                <w:spacing w:val="-4"/>
                <w:sz w:val="18"/>
              </w:rPr>
              <w:t>site</w:t>
            </w:r>
            <w:r>
              <w:rPr>
                <w:sz w:val="18"/>
              </w:rPr>
              <w:t> </w:t>
            </w:r>
            <w:r>
              <w:rPr>
                <w:spacing w:val="-2"/>
                <w:sz w:val="18"/>
              </w:rPr>
              <w:t>infection</w:t>
            </w:r>
            <w:r>
              <w:rPr>
                <w:sz w:val="18"/>
              </w:rPr>
              <w:t> </w:t>
            </w:r>
            <w:r>
              <w:rPr>
                <w:spacing w:val="-4"/>
                <w:sz w:val="18"/>
              </w:rPr>
              <w:t>rate</w:t>
            </w:r>
          </w:p>
        </w:tc>
        <w:tc>
          <w:tcPr>
            <w:tcW w:w="1306" w:type="dxa"/>
            <w:vMerge w:val="restart"/>
          </w:tcPr>
          <w:p>
            <w:pPr>
              <w:pStyle w:val="TableParagraph"/>
              <w:rPr>
                <w:rFonts w:ascii="Times New Roman"/>
                <w:sz w:val="18"/>
              </w:rPr>
            </w:pPr>
          </w:p>
        </w:tc>
        <w:tc>
          <w:tcPr>
            <w:tcW w:w="1281" w:type="dxa"/>
            <w:tcBorders>
              <w:bottom w:val="nil"/>
            </w:tcBorders>
          </w:tcPr>
          <w:p>
            <w:pPr>
              <w:pStyle w:val="TableParagraph"/>
              <w:ind w:left="103" w:right="84"/>
              <w:rPr>
                <w:sz w:val="18"/>
              </w:rPr>
            </w:pPr>
            <w:r>
              <w:rPr>
                <w:sz w:val="18"/>
              </w:rPr>
              <w:t>(Number of surgical</w:t>
            </w:r>
            <w:r>
              <w:rPr>
                <w:spacing w:val="-6"/>
                <w:sz w:val="18"/>
              </w:rPr>
              <w:t> </w:t>
            </w:r>
            <w:r>
              <w:rPr>
                <w:sz w:val="18"/>
              </w:rPr>
              <w:t>site infections</w:t>
            </w:r>
            <w:r>
              <w:rPr>
                <w:spacing w:val="-3"/>
                <w:sz w:val="18"/>
              </w:rPr>
              <w:t> </w:t>
            </w:r>
            <w:r>
              <w:rPr>
                <w:sz w:val="18"/>
              </w:rPr>
              <w:t>in</w:t>
            </w:r>
            <w:r>
              <w:rPr>
                <w:spacing w:val="-2"/>
                <w:sz w:val="18"/>
              </w:rPr>
              <w:t> </w:t>
            </w:r>
            <w:r>
              <w:rPr>
                <w:sz w:val="18"/>
              </w:rPr>
              <w:t>a </w:t>
            </w:r>
            <w:r>
              <w:rPr>
                <w:spacing w:val="-2"/>
                <w:sz w:val="18"/>
              </w:rPr>
              <w:t>given</w:t>
            </w:r>
            <w:r>
              <w:rPr>
                <w:sz w:val="18"/>
              </w:rPr>
              <w:t> </w:t>
            </w:r>
            <w:r>
              <w:rPr>
                <w:spacing w:val="-2"/>
                <w:sz w:val="18"/>
              </w:rPr>
              <w:t>month/Numb</w:t>
            </w:r>
            <w:r>
              <w:rPr>
                <w:sz w:val="18"/>
              </w:rPr>
              <w:t> er</w:t>
            </w:r>
            <w:r>
              <w:rPr>
                <w:spacing w:val="-11"/>
                <w:sz w:val="18"/>
              </w:rPr>
              <w:t> </w:t>
            </w:r>
            <w:r>
              <w:rPr>
                <w:sz w:val="18"/>
              </w:rPr>
              <w:t>of</w:t>
            </w:r>
            <w:r>
              <w:rPr>
                <w:spacing w:val="-10"/>
                <w:sz w:val="18"/>
              </w:rPr>
              <w:t> </w:t>
            </w:r>
            <w:r>
              <w:rPr>
                <w:sz w:val="18"/>
              </w:rPr>
              <w:t>surgeries performed</w:t>
            </w:r>
            <w:r>
              <w:rPr>
                <w:spacing w:val="-2"/>
                <w:sz w:val="18"/>
              </w:rPr>
              <w:t> </w:t>
            </w:r>
            <w:r>
              <w:rPr>
                <w:sz w:val="18"/>
              </w:rPr>
              <w:t>in </w:t>
            </w:r>
            <w:r>
              <w:rPr>
                <w:spacing w:val="-4"/>
                <w:sz w:val="18"/>
              </w:rPr>
              <w:t>that</w:t>
            </w:r>
            <w:r>
              <w:rPr>
                <w:sz w:val="18"/>
              </w:rPr>
              <w:t> </w:t>
            </w:r>
            <w:r>
              <w:rPr>
                <w:spacing w:val="-2"/>
                <w:sz w:val="18"/>
              </w:rPr>
              <w:t>month)*100</w:t>
            </w:r>
          </w:p>
        </w:tc>
        <w:tc>
          <w:tcPr>
            <w:tcW w:w="901" w:type="dxa"/>
            <w:tcBorders>
              <w:bottom w:val="nil"/>
            </w:tcBorders>
          </w:tcPr>
          <w:p>
            <w:pPr>
              <w:pStyle w:val="TableParagraph"/>
              <w:spacing w:line="218" w:lineRule="exact"/>
              <w:ind w:left="107"/>
              <w:rPr>
                <w:sz w:val="18"/>
              </w:rPr>
            </w:pPr>
            <w:r>
              <w:rPr>
                <w:spacing w:val="-4"/>
                <w:sz w:val="18"/>
              </w:rPr>
              <w:t>/100</w:t>
            </w:r>
          </w:p>
          <w:p>
            <w:pPr>
              <w:pStyle w:val="TableParagraph"/>
              <w:ind w:left="107" w:right="5"/>
              <w:rPr>
                <w:sz w:val="18"/>
              </w:rPr>
            </w:pPr>
            <w:r>
              <w:rPr>
                <w:spacing w:val="-2"/>
                <w:sz w:val="18"/>
              </w:rPr>
              <w:t>procedur</w:t>
            </w:r>
            <w:r>
              <w:rPr>
                <w:sz w:val="18"/>
              </w:rPr>
              <w:t> </w:t>
            </w:r>
            <w:r>
              <w:rPr>
                <w:spacing w:val="-6"/>
                <w:sz w:val="18"/>
              </w:rPr>
              <w:t>es</w:t>
            </w:r>
          </w:p>
        </w:tc>
        <w:tc>
          <w:tcPr>
            <w:tcW w:w="1366" w:type="dxa"/>
            <w:tcBorders>
              <w:bottom w:val="nil"/>
            </w:tcBorders>
          </w:tcPr>
          <w:p>
            <w:pPr>
              <w:pStyle w:val="TableParagraph"/>
              <w:spacing w:line="218" w:lineRule="exact"/>
              <w:ind w:left="101"/>
              <w:rPr>
                <w:sz w:val="18"/>
              </w:rPr>
            </w:pPr>
            <w:r>
              <w:rPr>
                <w:spacing w:val="-2"/>
                <w:sz w:val="18"/>
              </w:rPr>
              <w:t>Monthly</w:t>
            </w:r>
          </w:p>
        </w:tc>
        <w:tc>
          <w:tcPr>
            <w:tcW w:w="2732" w:type="dxa"/>
            <w:tcBorders>
              <w:bottom w:val="nil"/>
            </w:tcBorders>
          </w:tcPr>
          <w:p>
            <w:pPr>
              <w:pStyle w:val="TableParagraph"/>
              <w:ind w:left="101" w:right="123"/>
              <w:rPr>
                <w:sz w:val="18"/>
              </w:rPr>
            </w:pPr>
            <w:r>
              <w:rPr>
                <w:sz w:val="18"/>
              </w:rPr>
              <w:t>Keeping in mind the definition of SSI, the numbers would have to be updated on a continual basis until such time that the monitoring period is over. For example, in January, the data for December would be reported.</w:t>
            </w:r>
            <w:r>
              <w:rPr>
                <w:spacing w:val="40"/>
                <w:sz w:val="18"/>
              </w:rPr>
              <w:t> </w:t>
            </w:r>
            <w:r>
              <w:rPr>
                <w:sz w:val="18"/>
              </w:rPr>
              <w:t>The denominator would be the number</w:t>
            </w:r>
            <w:r>
              <w:rPr>
                <w:spacing w:val="-5"/>
                <w:sz w:val="18"/>
              </w:rPr>
              <w:t> </w:t>
            </w:r>
            <w:r>
              <w:rPr>
                <w:sz w:val="18"/>
              </w:rPr>
              <w:t>of</w:t>
            </w:r>
            <w:r>
              <w:rPr>
                <w:spacing w:val="-7"/>
                <w:sz w:val="18"/>
              </w:rPr>
              <w:t> </w:t>
            </w:r>
            <w:r>
              <w:rPr>
                <w:sz w:val="18"/>
              </w:rPr>
              <w:t>surgeries</w:t>
            </w:r>
            <w:r>
              <w:rPr>
                <w:spacing w:val="-7"/>
                <w:sz w:val="18"/>
              </w:rPr>
              <w:t> </w:t>
            </w:r>
            <w:r>
              <w:rPr>
                <w:sz w:val="18"/>
              </w:rPr>
              <w:t>performed</w:t>
            </w:r>
            <w:r>
              <w:rPr>
                <w:spacing w:val="-7"/>
                <w:sz w:val="18"/>
              </w:rPr>
              <w:t> </w:t>
            </w:r>
            <w:r>
              <w:rPr>
                <w:sz w:val="18"/>
              </w:rPr>
              <w:t>in December, and that would not change. With respect to the numerator, there would be some data</w:t>
            </w:r>
            <w:r>
              <w:rPr>
                <w:spacing w:val="-9"/>
                <w:sz w:val="18"/>
              </w:rPr>
              <w:t> </w:t>
            </w:r>
            <w:r>
              <w:rPr>
                <w:sz w:val="18"/>
              </w:rPr>
              <w:t>but</w:t>
            </w:r>
            <w:r>
              <w:rPr>
                <w:spacing w:val="-8"/>
                <w:sz w:val="18"/>
              </w:rPr>
              <w:t> </w:t>
            </w:r>
            <w:r>
              <w:rPr>
                <w:sz w:val="18"/>
              </w:rPr>
              <w:t>it</w:t>
            </w:r>
            <w:r>
              <w:rPr>
                <w:spacing w:val="-8"/>
                <w:sz w:val="18"/>
              </w:rPr>
              <w:t> </w:t>
            </w:r>
            <w:r>
              <w:rPr>
                <w:sz w:val="18"/>
              </w:rPr>
              <w:t>would</w:t>
            </w:r>
            <w:r>
              <w:rPr>
                <w:spacing w:val="-8"/>
                <w:sz w:val="18"/>
              </w:rPr>
              <w:t> </w:t>
            </w:r>
            <w:r>
              <w:rPr>
                <w:sz w:val="18"/>
              </w:rPr>
              <w:t>not</w:t>
            </w:r>
            <w:r>
              <w:rPr>
                <w:spacing w:val="-7"/>
                <w:sz w:val="18"/>
              </w:rPr>
              <w:t> </w:t>
            </w:r>
            <w:r>
              <w:rPr>
                <w:sz w:val="18"/>
              </w:rPr>
              <w:t>be</w:t>
            </w:r>
            <w:r>
              <w:rPr>
                <w:spacing w:val="-7"/>
                <w:sz w:val="18"/>
              </w:rPr>
              <w:t> </w:t>
            </w:r>
            <w:r>
              <w:rPr>
                <w:sz w:val="18"/>
              </w:rPr>
              <w:t>complete data. Hence, whatever value the organisation gets at this stage would at best be a preliminary value. The organisation will continue to monitor the patients and by the end of January, will have complete data with respect to procedures</w:t>
            </w:r>
            <w:r>
              <w:rPr>
                <w:spacing w:val="80"/>
                <w:sz w:val="18"/>
              </w:rPr>
              <w:t> </w:t>
            </w:r>
            <w:r>
              <w:rPr>
                <w:sz w:val="18"/>
              </w:rPr>
              <w:t>which have a 30-</w:t>
            </w:r>
          </w:p>
          <w:p>
            <w:pPr>
              <w:pStyle w:val="TableParagraph"/>
              <w:spacing w:line="211" w:lineRule="exact"/>
              <w:ind w:left="101"/>
              <w:rPr>
                <w:sz w:val="18"/>
              </w:rPr>
            </w:pPr>
            <w:r>
              <w:rPr>
                <w:sz w:val="18"/>
              </w:rPr>
              <w:t>day</w:t>
            </w:r>
            <w:r>
              <w:rPr>
                <w:spacing w:val="-8"/>
                <w:sz w:val="18"/>
              </w:rPr>
              <w:t> </w:t>
            </w:r>
            <w:r>
              <w:rPr>
                <w:sz w:val="18"/>
              </w:rPr>
              <w:t>surveillance </w:t>
            </w:r>
            <w:r>
              <w:rPr>
                <w:spacing w:val="-2"/>
                <w:sz w:val="18"/>
              </w:rPr>
              <w:t>period.</w:t>
            </w:r>
          </w:p>
        </w:tc>
      </w:tr>
      <w:tr>
        <w:trPr>
          <w:trHeight w:val="210" w:hRule="atLeast"/>
        </w:trPr>
        <w:tc>
          <w:tcPr>
            <w:tcW w:w="596" w:type="dxa"/>
            <w:tcBorders>
              <w:top w:val="nil"/>
              <w:bottom w:val="nil"/>
            </w:tcBorders>
          </w:tcPr>
          <w:p>
            <w:pPr>
              <w:pStyle w:val="TableParagraph"/>
              <w:spacing w:line="190" w:lineRule="exact"/>
              <w:ind w:left="16"/>
              <w:jc w:val="center"/>
              <w:rPr>
                <w:sz w:val="18"/>
              </w:rPr>
            </w:pPr>
            <w:r>
              <w:rPr>
                <w:spacing w:val="-10"/>
                <w:sz w:val="18"/>
              </w:rPr>
              <w:t>2</w:t>
            </w:r>
          </w:p>
        </w:tc>
        <w:tc>
          <w:tcPr>
            <w:tcW w:w="1001" w:type="dxa"/>
            <w:tcBorders>
              <w:top w:val="nil"/>
              <w:bottom w:val="nil"/>
            </w:tcBorders>
          </w:tcPr>
          <w:p>
            <w:pPr>
              <w:pStyle w:val="TableParagraph"/>
              <w:spacing w:line="190" w:lineRule="exact"/>
              <w:ind w:left="109"/>
              <w:rPr>
                <w:sz w:val="18"/>
              </w:rPr>
            </w:pPr>
            <w:r>
              <w:rPr>
                <w:spacing w:val="-2"/>
                <w:sz w:val="18"/>
              </w:rPr>
              <w:t>PSQ.2.a</w:t>
            </w:r>
          </w:p>
        </w:tc>
        <w:tc>
          <w:tcPr>
            <w:tcW w:w="1066" w:type="dxa"/>
            <w:tcBorders>
              <w:top w:val="nil"/>
              <w:bottom w:val="nil"/>
            </w:tcBorders>
          </w:tcPr>
          <w:p>
            <w:pPr>
              <w:pStyle w:val="TableParagraph"/>
              <w:rPr>
                <w:rFonts w:ascii="Times New Roman"/>
                <w:sz w:val="14"/>
              </w:rPr>
            </w:pPr>
          </w:p>
        </w:tc>
        <w:tc>
          <w:tcPr>
            <w:tcW w:w="1306" w:type="dxa"/>
            <w:vMerge/>
            <w:tcBorders>
              <w:top w:val="nil"/>
            </w:tcBorders>
          </w:tcPr>
          <w:p>
            <w:pPr>
              <w:rPr>
                <w:sz w:val="2"/>
                <w:szCs w:val="2"/>
              </w:rPr>
            </w:pPr>
          </w:p>
        </w:tc>
        <w:tc>
          <w:tcPr>
            <w:tcW w:w="1281" w:type="dxa"/>
            <w:tcBorders>
              <w:top w:val="nil"/>
              <w:bottom w:val="nil"/>
            </w:tcBorders>
          </w:tcPr>
          <w:p>
            <w:pPr>
              <w:pStyle w:val="TableParagraph"/>
              <w:rPr>
                <w:rFonts w:ascii="Times New Roman"/>
                <w:sz w:val="14"/>
              </w:rPr>
            </w:pPr>
          </w:p>
        </w:tc>
        <w:tc>
          <w:tcPr>
            <w:tcW w:w="901" w:type="dxa"/>
            <w:tcBorders>
              <w:top w:val="nil"/>
              <w:bottom w:val="nil"/>
            </w:tcBorders>
          </w:tcPr>
          <w:p>
            <w:pPr>
              <w:pStyle w:val="TableParagraph"/>
              <w:rPr>
                <w:rFonts w:ascii="Times New Roman"/>
                <w:sz w:val="14"/>
              </w:rPr>
            </w:pPr>
          </w:p>
        </w:tc>
        <w:tc>
          <w:tcPr>
            <w:tcW w:w="1366" w:type="dxa"/>
            <w:tcBorders>
              <w:top w:val="nil"/>
              <w:bottom w:val="nil"/>
            </w:tcBorders>
          </w:tcPr>
          <w:p>
            <w:pPr>
              <w:pStyle w:val="TableParagraph"/>
              <w:rPr>
                <w:rFonts w:ascii="Times New Roman"/>
                <w:sz w:val="14"/>
              </w:rPr>
            </w:pPr>
          </w:p>
        </w:tc>
        <w:tc>
          <w:tcPr>
            <w:tcW w:w="2732" w:type="dxa"/>
            <w:tcBorders>
              <w:top w:val="nil"/>
              <w:bottom w:val="nil"/>
            </w:tcBorders>
          </w:tcPr>
          <w:p>
            <w:pPr>
              <w:pStyle w:val="TableParagraph"/>
              <w:rPr>
                <w:rFonts w:ascii="Times New Roman"/>
                <w:sz w:val="14"/>
              </w:rPr>
            </w:pPr>
          </w:p>
        </w:tc>
      </w:tr>
      <w:tr>
        <w:trPr>
          <w:trHeight w:val="4496" w:hRule="atLeast"/>
        </w:trPr>
        <w:tc>
          <w:tcPr>
            <w:tcW w:w="596" w:type="dxa"/>
            <w:tcBorders>
              <w:top w:val="nil"/>
              <w:bottom w:val="nil"/>
            </w:tcBorders>
          </w:tcPr>
          <w:p>
            <w:pPr>
              <w:pStyle w:val="TableParagraph"/>
              <w:rPr>
                <w:rFonts w:ascii="Times New Roman"/>
                <w:sz w:val="18"/>
              </w:rPr>
            </w:pPr>
          </w:p>
        </w:tc>
        <w:tc>
          <w:tcPr>
            <w:tcW w:w="1001" w:type="dxa"/>
            <w:tcBorders>
              <w:top w:val="nil"/>
              <w:bottom w:val="nil"/>
            </w:tcBorders>
          </w:tcPr>
          <w:p>
            <w:pPr>
              <w:pStyle w:val="TableParagraph"/>
              <w:rPr>
                <w:rFonts w:ascii="Times New Roman"/>
                <w:sz w:val="18"/>
              </w:rPr>
            </w:pPr>
          </w:p>
        </w:tc>
        <w:tc>
          <w:tcPr>
            <w:tcW w:w="1066" w:type="dxa"/>
            <w:tcBorders>
              <w:top w:val="nil"/>
              <w:bottom w:val="nil"/>
            </w:tcBorders>
          </w:tcPr>
          <w:p>
            <w:pPr>
              <w:pStyle w:val="TableParagraph"/>
              <w:rPr>
                <w:rFonts w:ascii="Times New Roman"/>
                <w:sz w:val="18"/>
              </w:rPr>
            </w:pPr>
          </w:p>
        </w:tc>
        <w:tc>
          <w:tcPr>
            <w:tcW w:w="1306" w:type="dxa"/>
            <w:vMerge/>
            <w:tcBorders>
              <w:top w:val="nil"/>
            </w:tcBorders>
          </w:tcPr>
          <w:p>
            <w:pPr>
              <w:rPr>
                <w:sz w:val="2"/>
                <w:szCs w:val="2"/>
              </w:rPr>
            </w:pPr>
          </w:p>
        </w:tc>
        <w:tc>
          <w:tcPr>
            <w:tcW w:w="1281" w:type="dxa"/>
            <w:tcBorders>
              <w:top w:val="nil"/>
              <w:bottom w:val="nil"/>
            </w:tcBorders>
          </w:tcPr>
          <w:p>
            <w:pPr>
              <w:pStyle w:val="TableParagraph"/>
              <w:rPr>
                <w:rFonts w:ascii="Times New Roman"/>
                <w:sz w:val="18"/>
              </w:rPr>
            </w:pPr>
          </w:p>
        </w:tc>
        <w:tc>
          <w:tcPr>
            <w:tcW w:w="901" w:type="dxa"/>
            <w:tcBorders>
              <w:top w:val="nil"/>
              <w:bottom w:val="nil"/>
            </w:tcBorders>
          </w:tcPr>
          <w:p>
            <w:pPr>
              <w:pStyle w:val="TableParagraph"/>
              <w:rPr>
                <w:rFonts w:ascii="Times New Roman"/>
                <w:sz w:val="18"/>
              </w:rPr>
            </w:pPr>
          </w:p>
        </w:tc>
        <w:tc>
          <w:tcPr>
            <w:tcW w:w="1366" w:type="dxa"/>
            <w:tcBorders>
              <w:top w:val="nil"/>
              <w:bottom w:val="nil"/>
            </w:tcBorders>
          </w:tcPr>
          <w:p>
            <w:pPr>
              <w:pStyle w:val="TableParagraph"/>
              <w:rPr>
                <w:rFonts w:ascii="Times New Roman"/>
                <w:sz w:val="18"/>
              </w:rPr>
            </w:pPr>
          </w:p>
        </w:tc>
        <w:tc>
          <w:tcPr>
            <w:tcW w:w="2732" w:type="dxa"/>
            <w:tcBorders>
              <w:top w:val="nil"/>
              <w:bottom w:val="nil"/>
            </w:tcBorders>
          </w:tcPr>
          <w:p>
            <w:pPr>
              <w:pStyle w:val="TableParagraph"/>
              <w:spacing w:line="198" w:lineRule="exact"/>
              <w:ind w:left="101"/>
              <w:rPr>
                <w:sz w:val="18"/>
              </w:rPr>
            </w:pPr>
            <w:r>
              <w:rPr>
                <w:sz w:val="18"/>
              </w:rPr>
              <w:t>At</w:t>
            </w:r>
            <w:r>
              <w:rPr>
                <w:spacing w:val="-3"/>
                <w:sz w:val="18"/>
              </w:rPr>
              <w:t> </w:t>
            </w:r>
            <w:r>
              <w:rPr>
                <w:sz w:val="18"/>
              </w:rPr>
              <w:t>this</w:t>
            </w:r>
            <w:r>
              <w:rPr>
                <w:spacing w:val="-4"/>
                <w:sz w:val="18"/>
              </w:rPr>
              <w:t> </w:t>
            </w:r>
            <w:r>
              <w:rPr>
                <w:sz w:val="18"/>
              </w:rPr>
              <w:t>point</w:t>
            </w:r>
            <w:r>
              <w:rPr>
                <w:spacing w:val="-2"/>
                <w:sz w:val="18"/>
              </w:rPr>
              <w:t> </w:t>
            </w:r>
            <w:r>
              <w:rPr>
                <w:sz w:val="18"/>
              </w:rPr>
              <w:t>in</w:t>
            </w:r>
            <w:r>
              <w:rPr>
                <w:spacing w:val="-3"/>
                <w:sz w:val="18"/>
              </w:rPr>
              <w:t> </w:t>
            </w:r>
            <w:r>
              <w:rPr>
                <w:sz w:val="18"/>
              </w:rPr>
              <w:t>time,</w:t>
            </w:r>
            <w:r>
              <w:rPr>
                <w:spacing w:val="-2"/>
                <w:sz w:val="18"/>
              </w:rPr>
              <w:t> </w:t>
            </w:r>
            <w:r>
              <w:rPr>
                <w:sz w:val="18"/>
              </w:rPr>
              <w:t>based</w:t>
            </w:r>
            <w:r>
              <w:rPr>
                <w:spacing w:val="-3"/>
                <w:sz w:val="18"/>
              </w:rPr>
              <w:t> </w:t>
            </w:r>
            <w:r>
              <w:rPr>
                <w:sz w:val="18"/>
              </w:rPr>
              <w:t>on</w:t>
            </w:r>
            <w:r>
              <w:rPr>
                <w:spacing w:val="-2"/>
                <w:sz w:val="18"/>
              </w:rPr>
              <w:t> </w:t>
            </w:r>
            <w:r>
              <w:rPr>
                <w:spacing w:val="-5"/>
                <w:sz w:val="18"/>
              </w:rPr>
              <w:t>the</w:t>
            </w:r>
          </w:p>
          <w:p>
            <w:pPr>
              <w:pStyle w:val="TableParagraph"/>
              <w:ind w:left="101" w:right="124"/>
              <w:rPr>
                <w:sz w:val="18"/>
              </w:rPr>
            </w:pPr>
            <w:r>
              <w:rPr>
                <w:sz w:val="18"/>
              </w:rPr>
              <w:t>data that the organisation has collated the numerator may change and hence, the SSI rate. However, this</w:t>
            </w:r>
            <w:r>
              <w:rPr>
                <w:spacing w:val="-1"/>
                <w:sz w:val="18"/>
              </w:rPr>
              <w:t> </w:t>
            </w:r>
            <w:r>
              <w:rPr>
                <w:sz w:val="18"/>
              </w:rPr>
              <w:t>again would not be the final data. The organisation will continue to monitor procedures that have a 90-day surveillance period, and if there are new SSIs, it would get added to the numerator and thus the rate would change. The surveillance period for surgeries which are done in December and have a 90-day surveillance period would</w:t>
            </w:r>
            <w:r>
              <w:rPr>
                <w:spacing w:val="-5"/>
                <w:sz w:val="18"/>
              </w:rPr>
              <w:t> </w:t>
            </w:r>
            <w:r>
              <w:rPr>
                <w:sz w:val="18"/>
              </w:rPr>
              <w:t>end</w:t>
            </w:r>
            <w:r>
              <w:rPr>
                <w:spacing w:val="-5"/>
                <w:sz w:val="18"/>
              </w:rPr>
              <w:t> </w:t>
            </w:r>
            <w:r>
              <w:rPr>
                <w:sz w:val="18"/>
              </w:rPr>
              <w:t>on</w:t>
            </w:r>
            <w:r>
              <w:rPr>
                <w:spacing w:val="-5"/>
                <w:sz w:val="18"/>
              </w:rPr>
              <w:t> </w:t>
            </w:r>
            <w:r>
              <w:rPr>
                <w:sz w:val="18"/>
              </w:rPr>
              <w:t>March</w:t>
            </w:r>
            <w:r>
              <w:rPr>
                <w:spacing w:val="-5"/>
                <w:sz w:val="18"/>
              </w:rPr>
              <w:t> </w:t>
            </w:r>
            <w:r>
              <w:rPr>
                <w:sz w:val="18"/>
              </w:rPr>
              <w:t>30th</w:t>
            </w:r>
            <w:r>
              <w:rPr>
                <w:spacing w:val="-5"/>
                <w:sz w:val="18"/>
              </w:rPr>
              <w:t> </w:t>
            </w:r>
            <w:r>
              <w:rPr>
                <w:sz w:val="18"/>
              </w:rPr>
              <w:t>(give</w:t>
            </w:r>
            <w:r>
              <w:rPr>
                <w:spacing w:val="-5"/>
                <w:sz w:val="18"/>
              </w:rPr>
              <w:t> </w:t>
            </w:r>
            <w:r>
              <w:rPr>
                <w:sz w:val="18"/>
              </w:rPr>
              <w:t>or take a few days). It is only at this point in time that the</w:t>
            </w:r>
            <w:r>
              <w:rPr>
                <w:spacing w:val="40"/>
                <w:sz w:val="18"/>
              </w:rPr>
              <w:t> </w:t>
            </w:r>
            <w:r>
              <w:rPr>
                <w:sz w:val="18"/>
              </w:rPr>
              <w:t>organisation</w:t>
            </w:r>
            <w:r>
              <w:rPr>
                <w:spacing w:val="-8"/>
                <w:sz w:val="18"/>
              </w:rPr>
              <w:t> </w:t>
            </w:r>
            <w:r>
              <w:rPr>
                <w:sz w:val="18"/>
              </w:rPr>
              <w:t>can</w:t>
            </w:r>
            <w:r>
              <w:rPr>
                <w:spacing w:val="-8"/>
                <w:sz w:val="18"/>
              </w:rPr>
              <w:t> </w:t>
            </w:r>
            <w:r>
              <w:rPr>
                <w:sz w:val="18"/>
              </w:rPr>
              <w:t>have</w:t>
            </w:r>
            <w:r>
              <w:rPr>
                <w:spacing w:val="-8"/>
                <w:sz w:val="18"/>
              </w:rPr>
              <w:t> </w:t>
            </w:r>
            <w:r>
              <w:rPr>
                <w:sz w:val="18"/>
              </w:rPr>
              <w:t>the</w:t>
            </w:r>
            <w:r>
              <w:rPr>
                <w:spacing w:val="-8"/>
                <w:sz w:val="18"/>
              </w:rPr>
              <w:t> </w:t>
            </w:r>
            <w:r>
              <w:rPr>
                <w:sz w:val="18"/>
              </w:rPr>
              <w:t>final</w:t>
            </w:r>
            <w:r>
              <w:rPr>
                <w:spacing w:val="-10"/>
                <w:sz w:val="18"/>
              </w:rPr>
              <w:t> </w:t>
            </w:r>
            <w:r>
              <w:rPr>
                <w:sz w:val="18"/>
              </w:rPr>
              <w:t>SSI rate for December.</w:t>
            </w:r>
          </w:p>
        </w:tc>
      </w:tr>
      <w:tr>
        <w:trPr>
          <w:trHeight w:val="309" w:hRule="atLeast"/>
        </w:trPr>
        <w:tc>
          <w:tcPr>
            <w:tcW w:w="596" w:type="dxa"/>
            <w:tcBorders>
              <w:top w:val="nil"/>
            </w:tcBorders>
          </w:tcPr>
          <w:p>
            <w:pPr>
              <w:pStyle w:val="TableParagraph"/>
              <w:rPr>
                <w:rFonts w:ascii="Times New Roman"/>
                <w:sz w:val="18"/>
              </w:rPr>
            </w:pPr>
          </w:p>
        </w:tc>
        <w:tc>
          <w:tcPr>
            <w:tcW w:w="1001" w:type="dxa"/>
            <w:tcBorders>
              <w:top w:val="nil"/>
            </w:tcBorders>
          </w:tcPr>
          <w:p>
            <w:pPr>
              <w:pStyle w:val="TableParagraph"/>
              <w:rPr>
                <w:rFonts w:ascii="Times New Roman"/>
                <w:sz w:val="18"/>
              </w:rPr>
            </w:pPr>
          </w:p>
        </w:tc>
        <w:tc>
          <w:tcPr>
            <w:tcW w:w="1066" w:type="dxa"/>
            <w:tcBorders>
              <w:top w:val="nil"/>
            </w:tcBorders>
          </w:tcPr>
          <w:p>
            <w:pPr>
              <w:pStyle w:val="TableParagraph"/>
              <w:rPr>
                <w:rFonts w:ascii="Times New Roman"/>
                <w:sz w:val="18"/>
              </w:rPr>
            </w:pPr>
          </w:p>
        </w:tc>
        <w:tc>
          <w:tcPr>
            <w:tcW w:w="1306" w:type="dxa"/>
            <w:vMerge/>
            <w:tcBorders>
              <w:top w:val="nil"/>
            </w:tcBorders>
          </w:tcPr>
          <w:p>
            <w:pPr>
              <w:rPr>
                <w:sz w:val="2"/>
                <w:szCs w:val="2"/>
              </w:rPr>
            </w:pPr>
          </w:p>
        </w:tc>
        <w:tc>
          <w:tcPr>
            <w:tcW w:w="1281" w:type="dxa"/>
            <w:tcBorders>
              <w:top w:val="nil"/>
            </w:tcBorders>
          </w:tcPr>
          <w:p>
            <w:pPr>
              <w:pStyle w:val="TableParagraph"/>
              <w:rPr>
                <w:rFonts w:ascii="Times New Roman"/>
                <w:sz w:val="18"/>
              </w:rPr>
            </w:pPr>
          </w:p>
        </w:tc>
        <w:tc>
          <w:tcPr>
            <w:tcW w:w="901" w:type="dxa"/>
            <w:tcBorders>
              <w:top w:val="nil"/>
            </w:tcBorders>
          </w:tcPr>
          <w:p>
            <w:pPr>
              <w:pStyle w:val="TableParagraph"/>
              <w:rPr>
                <w:rFonts w:ascii="Times New Roman"/>
                <w:sz w:val="18"/>
              </w:rPr>
            </w:pPr>
          </w:p>
        </w:tc>
        <w:tc>
          <w:tcPr>
            <w:tcW w:w="1366" w:type="dxa"/>
            <w:tcBorders>
              <w:top w:val="nil"/>
            </w:tcBorders>
          </w:tcPr>
          <w:p>
            <w:pPr>
              <w:pStyle w:val="TableParagraph"/>
              <w:rPr>
                <w:rFonts w:ascii="Times New Roman"/>
                <w:sz w:val="18"/>
              </w:rPr>
            </w:pPr>
          </w:p>
        </w:tc>
        <w:tc>
          <w:tcPr>
            <w:tcW w:w="2732" w:type="dxa"/>
            <w:tcBorders>
              <w:top w:val="nil"/>
            </w:tcBorders>
          </w:tcPr>
          <w:p>
            <w:pPr>
              <w:pStyle w:val="TableParagraph"/>
              <w:spacing w:line="201" w:lineRule="exact" w:before="88"/>
              <w:ind w:left="101"/>
              <w:rPr>
                <w:sz w:val="18"/>
              </w:rPr>
            </w:pPr>
            <w:r>
              <w:rPr>
                <w:sz w:val="18"/>
              </w:rPr>
              <w:t>Sampling:</w:t>
            </w:r>
            <w:r>
              <w:rPr>
                <w:spacing w:val="-2"/>
                <w:sz w:val="18"/>
              </w:rPr>
              <w:t> </w:t>
            </w:r>
            <w:r>
              <w:rPr>
                <w:spacing w:val="-5"/>
                <w:sz w:val="18"/>
              </w:rPr>
              <w:t>No</w:t>
            </w:r>
          </w:p>
        </w:tc>
      </w:tr>
      <w:tr>
        <w:trPr>
          <w:trHeight w:val="3956"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7"/>
              <w:rPr>
                <w:rFonts w:ascii="Franklin Gothic Medium"/>
                <w:sz w:val="18"/>
              </w:rPr>
            </w:pPr>
          </w:p>
          <w:p>
            <w:pPr>
              <w:pStyle w:val="TableParagraph"/>
              <w:ind w:left="16"/>
              <w:jc w:val="center"/>
              <w:rPr>
                <w:sz w:val="18"/>
              </w:rPr>
            </w:pPr>
            <w:r>
              <w:rPr>
                <w:spacing w:val="-10"/>
                <w:sz w:val="18"/>
              </w:rPr>
              <w:t>3</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7"/>
              <w:rPr>
                <w:rFonts w:ascii="Franklin Gothic Medium"/>
                <w:sz w:val="18"/>
              </w:rPr>
            </w:pPr>
          </w:p>
          <w:p>
            <w:pPr>
              <w:pStyle w:val="TableParagraph"/>
              <w:ind w:left="109"/>
              <w:rPr>
                <w:b/>
                <w:sz w:val="18"/>
              </w:rPr>
            </w:pPr>
            <w:r>
              <w:rPr>
                <w:b/>
                <w:spacing w:val="-2"/>
                <w:sz w:val="18"/>
              </w:rPr>
              <w:t>PSQ.2.b</w:t>
            </w:r>
          </w:p>
        </w:tc>
        <w:tc>
          <w:tcPr>
            <w:tcW w:w="1066" w:type="dxa"/>
          </w:tcPr>
          <w:p>
            <w:pPr>
              <w:pStyle w:val="TableParagraph"/>
              <w:ind w:left="104" w:right="130"/>
              <w:rPr>
                <w:sz w:val="18"/>
              </w:rPr>
            </w:pPr>
            <w:r>
              <w:rPr>
                <w:spacing w:val="-2"/>
                <w:sz w:val="18"/>
              </w:rPr>
              <w:t>Incidence</w:t>
            </w:r>
            <w:r>
              <w:rPr>
                <w:sz w:val="18"/>
              </w:rPr>
              <w:t> </w:t>
            </w:r>
            <w:r>
              <w:rPr>
                <w:spacing w:val="-6"/>
                <w:sz w:val="18"/>
              </w:rPr>
              <w:t>of</w:t>
            </w:r>
            <w:r>
              <w:rPr>
                <w:sz w:val="18"/>
              </w:rPr>
              <w:t> </w:t>
            </w:r>
            <w:r>
              <w:rPr>
                <w:spacing w:val="-2"/>
                <w:sz w:val="18"/>
              </w:rPr>
              <w:t>medication</w:t>
            </w:r>
            <w:r>
              <w:rPr>
                <w:sz w:val="18"/>
              </w:rPr>
              <w:t> </w:t>
            </w:r>
            <w:r>
              <w:rPr>
                <w:spacing w:val="-2"/>
                <w:sz w:val="18"/>
              </w:rPr>
              <w:t>errors</w:t>
            </w:r>
          </w:p>
        </w:tc>
        <w:tc>
          <w:tcPr>
            <w:tcW w:w="1306" w:type="dxa"/>
          </w:tcPr>
          <w:p>
            <w:pPr>
              <w:pStyle w:val="TableParagraph"/>
              <w:ind w:left="103" w:right="157"/>
              <w:rPr>
                <w:sz w:val="18"/>
              </w:rPr>
            </w:pPr>
            <w:r>
              <w:rPr>
                <w:sz w:val="18"/>
              </w:rPr>
              <w:t>A</w:t>
            </w:r>
            <w:r>
              <w:rPr>
                <w:spacing w:val="-2"/>
                <w:sz w:val="18"/>
              </w:rPr>
              <w:t> </w:t>
            </w:r>
            <w:r>
              <w:rPr>
                <w:sz w:val="18"/>
              </w:rPr>
              <w:t>medication error is any </w:t>
            </w:r>
            <w:r>
              <w:rPr>
                <w:spacing w:val="-2"/>
                <w:sz w:val="18"/>
              </w:rPr>
              <w:t>preventable</w:t>
            </w:r>
            <w:r>
              <w:rPr>
                <w:sz w:val="18"/>
              </w:rPr>
              <w:t> event</w:t>
            </w:r>
            <w:r>
              <w:rPr>
                <w:spacing w:val="-2"/>
                <w:sz w:val="18"/>
              </w:rPr>
              <w:t> </w:t>
            </w:r>
            <w:r>
              <w:rPr>
                <w:sz w:val="18"/>
              </w:rPr>
              <w:t>that may cause or lead</w:t>
            </w:r>
            <w:r>
              <w:rPr>
                <w:spacing w:val="-2"/>
                <w:sz w:val="18"/>
              </w:rPr>
              <w:t> </w:t>
            </w:r>
            <w:r>
              <w:rPr>
                <w:sz w:val="18"/>
              </w:rPr>
              <w:t>to </w:t>
            </w:r>
            <w:r>
              <w:rPr>
                <w:spacing w:val="-2"/>
                <w:sz w:val="18"/>
              </w:rPr>
              <w:t>inappropriate</w:t>
            </w:r>
            <w:r>
              <w:rPr>
                <w:sz w:val="18"/>
              </w:rPr>
              <w:t> </w:t>
            </w:r>
            <w:r>
              <w:rPr>
                <w:spacing w:val="-2"/>
                <w:sz w:val="18"/>
              </w:rPr>
              <w:t>medication</w:t>
            </w:r>
            <w:r>
              <w:rPr>
                <w:sz w:val="18"/>
              </w:rPr>
              <w:t> use</w:t>
            </w:r>
            <w:r>
              <w:rPr>
                <w:spacing w:val="-11"/>
                <w:sz w:val="18"/>
              </w:rPr>
              <w:t> </w:t>
            </w:r>
            <w:r>
              <w:rPr>
                <w:sz w:val="18"/>
              </w:rPr>
              <w:t>or</w:t>
            </w:r>
            <w:r>
              <w:rPr>
                <w:spacing w:val="-10"/>
                <w:sz w:val="18"/>
              </w:rPr>
              <w:t> </w:t>
            </w:r>
            <w:r>
              <w:rPr>
                <w:sz w:val="18"/>
              </w:rPr>
              <w:t>patient harm while </w:t>
            </w:r>
            <w:r>
              <w:rPr>
                <w:spacing w:val="-4"/>
                <w:sz w:val="18"/>
              </w:rPr>
              <w:t>the</w:t>
            </w:r>
            <w:r>
              <w:rPr>
                <w:sz w:val="18"/>
              </w:rPr>
              <w:t> medication</w:t>
            </w:r>
            <w:r>
              <w:rPr>
                <w:spacing w:val="-2"/>
                <w:sz w:val="18"/>
              </w:rPr>
              <w:t> </w:t>
            </w:r>
            <w:r>
              <w:rPr>
                <w:sz w:val="18"/>
              </w:rPr>
              <w:t>is in</w:t>
            </w:r>
            <w:r>
              <w:rPr>
                <w:spacing w:val="-2"/>
                <w:sz w:val="18"/>
              </w:rPr>
              <w:t> </w:t>
            </w:r>
            <w:r>
              <w:rPr>
                <w:sz w:val="18"/>
              </w:rPr>
              <w:t>the</w:t>
            </w:r>
            <w:r>
              <w:rPr>
                <w:spacing w:val="-1"/>
                <w:sz w:val="18"/>
              </w:rPr>
              <w:t> </w:t>
            </w:r>
            <w:r>
              <w:rPr>
                <w:sz w:val="18"/>
              </w:rPr>
              <w:t>control of</w:t>
            </w:r>
            <w:r>
              <w:rPr>
                <w:spacing w:val="-2"/>
                <w:sz w:val="18"/>
              </w:rPr>
              <w:t> </w:t>
            </w:r>
            <w:r>
              <w:rPr>
                <w:sz w:val="18"/>
              </w:rPr>
              <w:t>the </w:t>
            </w:r>
            <w:r>
              <w:rPr>
                <w:spacing w:val="-2"/>
                <w:sz w:val="18"/>
              </w:rPr>
              <w:t>healthcare</w:t>
            </w:r>
            <w:r>
              <w:rPr>
                <w:sz w:val="18"/>
              </w:rPr>
              <w:t> </w:t>
            </w:r>
            <w:r>
              <w:rPr>
                <w:spacing w:val="-2"/>
                <w:sz w:val="18"/>
              </w:rPr>
              <w:t>professional,</w:t>
            </w:r>
            <w:r>
              <w:rPr>
                <w:sz w:val="18"/>
              </w:rPr>
              <w:t> patient,</w:t>
            </w:r>
            <w:r>
              <w:rPr>
                <w:spacing w:val="-2"/>
                <w:sz w:val="18"/>
              </w:rPr>
              <w:t> </w:t>
            </w:r>
            <w:r>
              <w:rPr>
                <w:sz w:val="18"/>
              </w:rPr>
              <w:t>or</w:t>
            </w:r>
          </w:p>
          <w:p>
            <w:pPr>
              <w:pStyle w:val="TableParagraph"/>
              <w:spacing w:line="201" w:lineRule="exact"/>
              <w:ind w:left="103"/>
              <w:rPr>
                <w:sz w:val="18"/>
              </w:rPr>
            </w:pPr>
            <w:r>
              <w:rPr>
                <w:spacing w:val="-2"/>
                <w:sz w:val="18"/>
              </w:rPr>
              <w:t>consumer.</w:t>
            </w:r>
          </w:p>
        </w:tc>
        <w:tc>
          <w:tcPr>
            <w:tcW w:w="1281" w:type="dxa"/>
          </w:tcPr>
          <w:p>
            <w:pPr>
              <w:pStyle w:val="TableParagraph"/>
              <w:ind w:left="103" w:right="113"/>
              <w:rPr>
                <w:sz w:val="18"/>
              </w:rPr>
            </w:pPr>
            <w:r>
              <w:rPr>
                <w:sz w:val="18"/>
              </w:rPr>
              <w:t>(Total</w:t>
            </w:r>
            <w:r>
              <w:rPr>
                <w:spacing w:val="-11"/>
                <w:sz w:val="18"/>
              </w:rPr>
              <w:t> </w:t>
            </w:r>
            <w:r>
              <w:rPr>
                <w:sz w:val="18"/>
              </w:rPr>
              <w:t>number of</w:t>
            </w:r>
            <w:r>
              <w:rPr>
                <w:spacing w:val="-4"/>
                <w:sz w:val="18"/>
              </w:rPr>
              <w:t> </w:t>
            </w:r>
            <w:r>
              <w:rPr>
                <w:sz w:val="18"/>
              </w:rPr>
              <w:t>medication </w:t>
            </w:r>
            <w:r>
              <w:rPr>
                <w:spacing w:val="-2"/>
                <w:sz w:val="18"/>
              </w:rPr>
              <w:t>errors/</w:t>
            </w:r>
            <w:r>
              <w:rPr>
                <w:sz w:val="18"/>
              </w:rPr>
              <w:t> Number of Patient</w:t>
            </w:r>
            <w:r>
              <w:rPr>
                <w:spacing w:val="-2"/>
                <w:sz w:val="18"/>
              </w:rPr>
              <w:t> </w:t>
            </w:r>
            <w:r>
              <w:rPr>
                <w:sz w:val="18"/>
              </w:rPr>
              <w:t>Days)</w:t>
            </w:r>
          </w:p>
          <w:p>
            <w:pPr>
              <w:pStyle w:val="TableParagraph"/>
              <w:ind w:left="103"/>
              <w:rPr>
                <w:sz w:val="18"/>
              </w:rPr>
            </w:pPr>
            <w:r>
              <w:rPr>
                <w:spacing w:val="-2"/>
                <w:sz w:val="18"/>
              </w:rPr>
              <w:t>*1000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3" w:lineRule="exact"/>
              <w:ind w:left="101"/>
              <w:rPr>
                <w:sz w:val="18"/>
              </w:rPr>
            </w:pPr>
            <w:r>
              <w:rPr>
                <w:spacing w:val="-2"/>
                <w:sz w:val="18"/>
              </w:rPr>
              <w:t>Monthly</w:t>
            </w:r>
          </w:p>
        </w:tc>
        <w:tc>
          <w:tcPr>
            <w:tcW w:w="2732" w:type="dxa"/>
          </w:tcPr>
          <w:p>
            <w:pPr>
              <w:pStyle w:val="TableParagraph"/>
              <w:ind w:left="101" w:right="156"/>
              <w:rPr>
                <w:sz w:val="18"/>
              </w:rPr>
            </w:pPr>
            <w:r>
              <w:rPr>
                <w:sz w:val="18"/>
              </w:rPr>
              <w:t>In addition to incident reporting, to detect medication errors the organisation shall either adopt medical record review or direct observation. The sample size for this shall be as per the preceding column. The average occupancy shall be of the preceding 3 months.</w:t>
            </w:r>
            <w:r>
              <w:rPr>
                <w:spacing w:val="-9"/>
                <w:sz w:val="18"/>
              </w:rPr>
              <w:t> </w:t>
            </w:r>
            <w:r>
              <w:rPr>
                <w:sz w:val="18"/>
              </w:rPr>
              <w:t>Medication</w:t>
            </w:r>
            <w:r>
              <w:rPr>
                <w:spacing w:val="-8"/>
                <w:sz w:val="18"/>
              </w:rPr>
              <w:t> </w:t>
            </w:r>
            <w:r>
              <w:rPr>
                <w:sz w:val="18"/>
              </w:rPr>
              <w:t>Error</w:t>
            </w:r>
            <w:r>
              <w:rPr>
                <w:spacing w:val="-6"/>
                <w:sz w:val="18"/>
              </w:rPr>
              <w:t> </w:t>
            </w:r>
            <w:r>
              <w:rPr>
                <w:sz w:val="18"/>
              </w:rPr>
              <w:t>is</w:t>
            </w:r>
            <w:r>
              <w:rPr>
                <w:spacing w:val="-9"/>
                <w:sz w:val="18"/>
              </w:rPr>
              <w:t> </w:t>
            </w:r>
            <w:r>
              <w:rPr>
                <w:sz w:val="18"/>
              </w:rPr>
              <w:t>to</w:t>
            </w:r>
            <w:r>
              <w:rPr>
                <w:spacing w:val="-8"/>
                <w:sz w:val="18"/>
              </w:rPr>
              <w:t> </w:t>
            </w:r>
            <w:r>
              <w:rPr>
                <w:sz w:val="18"/>
              </w:rPr>
              <w:t>be calculated only in IP. OP calculations are beyond the </w:t>
            </w:r>
            <w:r>
              <w:rPr>
                <w:spacing w:val="-2"/>
                <w:sz w:val="18"/>
              </w:rPr>
              <w:t>scope.</w:t>
            </w:r>
          </w:p>
          <w:p>
            <w:pPr>
              <w:pStyle w:val="TableParagraph"/>
              <w:spacing w:before="13"/>
              <w:rPr>
                <w:rFonts w:ascii="Franklin Gothic Medium"/>
                <w:sz w:val="18"/>
              </w:rPr>
            </w:pPr>
          </w:p>
          <w:p>
            <w:pPr>
              <w:pStyle w:val="TableParagraph"/>
              <w:spacing w:before="1"/>
              <w:ind w:left="101"/>
              <w:rPr>
                <w:sz w:val="18"/>
              </w:rPr>
            </w:pPr>
            <w:r>
              <w:rPr>
                <w:sz w:val="18"/>
              </w:rPr>
              <w:t>Sampling:</w:t>
            </w:r>
            <w:r>
              <w:rPr>
                <w:spacing w:val="-2"/>
                <w:sz w:val="18"/>
              </w:rPr>
              <w:t> </w:t>
            </w:r>
            <w:r>
              <w:rPr>
                <w:spacing w:val="-5"/>
                <w:sz w:val="18"/>
              </w:rPr>
              <w:t>Yes</w:t>
            </w:r>
          </w:p>
          <w:p>
            <w:pPr>
              <w:pStyle w:val="TableParagraph"/>
              <w:ind w:left="101"/>
              <w:rPr>
                <w:sz w:val="18"/>
              </w:rPr>
            </w:pPr>
            <w:r>
              <w:rPr>
                <w:sz w:val="18"/>
              </w:rPr>
              <w:t>Sampling</w:t>
            </w:r>
            <w:r>
              <w:rPr>
                <w:spacing w:val="-11"/>
                <w:sz w:val="18"/>
              </w:rPr>
              <w:t> </w:t>
            </w:r>
            <w:r>
              <w:rPr>
                <w:sz w:val="18"/>
              </w:rPr>
              <w:t>methodology:</w:t>
            </w:r>
            <w:r>
              <w:rPr>
                <w:spacing w:val="-10"/>
                <w:sz w:val="18"/>
              </w:rPr>
              <w:t> </w:t>
            </w:r>
            <w:r>
              <w:rPr>
                <w:sz w:val="18"/>
              </w:rPr>
              <w:t>Stratified </w:t>
            </w:r>
            <w:r>
              <w:rPr>
                <w:spacing w:val="-2"/>
                <w:sz w:val="18"/>
              </w:rPr>
              <w:t>random</w:t>
            </w:r>
          </w:p>
        </w:tc>
      </w:tr>
    </w:tbl>
    <w:p>
      <w:pPr>
        <w:pStyle w:val="TableParagraph"/>
        <w:spacing w:after="0"/>
        <w:rPr>
          <w:sz w:val="18"/>
        </w:rPr>
        <w:sectPr>
          <w:pgSz w:w="10800" w:h="15600"/>
          <w:pgMar w:header="232" w:footer="0" w:top="1040" w:bottom="280" w:left="360" w:right="0"/>
        </w:sect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3956"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7"/>
              <w:rPr>
                <w:rFonts w:ascii="Franklin Gothic Medium"/>
                <w:sz w:val="18"/>
              </w:rPr>
            </w:pPr>
          </w:p>
          <w:p>
            <w:pPr>
              <w:pStyle w:val="TableParagraph"/>
              <w:ind w:left="16"/>
              <w:jc w:val="center"/>
              <w:rPr>
                <w:sz w:val="18"/>
              </w:rPr>
            </w:pPr>
            <w:r>
              <w:rPr>
                <w:spacing w:val="-10"/>
                <w:sz w:val="18"/>
              </w:rPr>
              <w:t>4</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7"/>
              <w:rPr>
                <w:rFonts w:ascii="Franklin Gothic Medium"/>
                <w:sz w:val="18"/>
              </w:rPr>
            </w:pPr>
          </w:p>
          <w:p>
            <w:pPr>
              <w:pStyle w:val="TableParagraph"/>
              <w:ind w:left="109"/>
              <w:rPr>
                <w:b/>
                <w:sz w:val="18"/>
              </w:rPr>
            </w:pPr>
            <w:r>
              <w:rPr>
                <w:b/>
                <w:spacing w:val="-2"/>
                <w:sz w:val="18"/>
              </w:rPr>
              <w:t>PSQ.2.b</w:t>
            </w:r>
          </w:p>
        </w:tc>
        <w:tc>
          <w:tcPr>
            <w:tcW w:w="1066" w:type="dxa"/>
          </w:tcPr>
          <w:p>
            <w:pPr>
              <w:pStyle w:val="TableParagraph"/>
              <w:ind w:left="104" w:right="125"/>
              <w:rPr>
                <w:sz w:val="18"/>
              </w:rPr>
            </w:pPr>
            <w:r>
              <w:rPr>
                <w:spacing w:val="-2"/>
                <w:sz w:val="18"/>
              </w:rPr>
              <w:t>Percentage</w:t>
            </w:r>
            <w:r>
              <w:rPr>
                <w:sz w:val="18"/>
              </w:rPr>
              <w:t> </w:t>
            </w:r>
            <w:r>
              <w:rPr>
                <w:spacing w:val="-6"/>
                <w:sz w:val="18"/>
              </w:rPr>
              <w:t>of</w:t>
            </w:r>
            <w:r>
              <w:rPr>
                <w:spacing w:val="80"/>
                <w:sz w:val="18"/>
              </w:rPr>
              <w:t> </w:t>
            </w:r>
            <w:r>
              <w:rPr>
                <w:spacing w:val="-2"/>
                <w:sz w:val="18"/>
              </w:rPr>
              <w:t>surgeries</w:t>
            </w:r>
            <w:r>
              <w:rPr>
                <w:sz w:val="18"/>
              </w:rPr>
              <w:t> where the </w:t>
            </w:r>
            <w:r>
              <w:rPr>
                <w:spacing w:val="-2"/>
                <w:sz w:val="18"/>
              </w:rPr>
              <w:t>organisatio</w:t>
            </w:r>
            <w:r>
              <w:rPr>
                <w:sz w:val="18"/>
              </w:rPr>
              <w:t> </w:t>
            </w:r>
            <w:r>
              <w:rPr>
                <w:spacing w:val="-4"/>
                <w:sz w:val="18"/>
              </w:rPr>
              <w:t>n’s</w:t>
            </w:r>
            <w:r>
              <w:rPr>
                <w:sz w:val="18"/>
              </w:rPr>
              <w:t> </w:t>
            </w:r>
            <w:r>
              <w:rPr>
                <w:spacing w:val="-2"/>
                <w:sz w:val="18"/>
              </w:rPr>
              <w:t>procedure</w:t>
            </w:r>
            <w:r>
              <w:rPr>
                <w:sz w:val="18"/>
              </w:rPr>
              <w:t> to</w:t>
            </w:r>
            <w:r>
              <w:rPr>
                <w:spacing w:val="-2"/>
                <w:sz w:val="18"/>
              </w:rPr>
              <w:t> </w:t>
            </w:r>
            <w:r>
              <w:rPr>
                <w:sz w:val="18"/>
              </w:rPr>
              <w:t>prevent </w:t>
            </w:r>
            <w:r>
              <w:rPr>
                <w:spacing w:val="-2"/>
                <w:sz w:val="18"/>
              </w:rPr>
              <w:t>adverse</w:t>
            </w:r>
            <w:r>
              <w:rPr>
                <w:sz w:val="18"/>
              </w:rPr>
              <w:t> events</w:t>
            </w:r>
            <w:r>
              <w:rPr>
                <w:spacing w:val="-4"/>
                <w:sz w:val="18"/>
              </w:rPr>
              <w:t> </w:t>
            </w:r>
            <w:r>
              <w:rPr>
                <w:sz w:val="18"/>
              </w:rPr>
              <w:t>like the</w:t>
            </w:r>
            <w:r>
              <w:rPr>
                <w:spacing w:val="-2"/>
                <w:sz w:val="18"/>
              </w:rPr>
              <w:t> </w:t>
            </w:r>
            <w:r>
              <w:rPr>
                <w:sz w:val="18"/>
              </w:rPr>
              <w:t>wrong site,</w:t>
            </w:r>
            <w:r>
              <w:rPr>
                <w:spacing w:val="-11"/>
                <w:sz w:val="18"/>
              </w:rPr>
              <w:t> </w:t>
            </w:r>
            <w:r>
              <w:rPr>
                <w:sz w:val="18"/>
              </w:rPr>
              <w:t>wrong </w:t>
            </w:r>
            <w:r>
              <w:rPr>
                <w:spacing w:val="-2"/>
                <w:sz w:val="18"/>
              </w:rPr>
              <w:t>patient,</w:t>
            </w:r>
            <w:r>
              <w:rPr>
                <w:sz w:val="18"/>
              </w:rPr>
              <w:t> and wrong </w:t>
            </w:r>
            <w:r>
              <w:rPr>
                <w:spacing w:val="-2"/>
                <w:sz w:val="18"/>
              </w:rPr>
              <w:t>surgery</w:t>
            </w:r>
            <w:r>
              <w:rPr>
                <w:sz w:val="18"/>
              </w:rPr>
              <w:t> have been </w:t>
            </w:r>
            <w:r>
              <w:rPr>
                <w:spacing w:val="-2"/>
                <w:sz w:val="18"/>
              </w:rPr>
              <w:t>adhered</w:t>
            </w:r>
          </w:p>
          <w:p>
            <w:pPr>
              <w:pStyle w:val="TableParagraph"/>
              <w:spacing w:line="201" w:lineRule="exact"/>
              <w:ind w:left="104"/>
              <w:rPr>
                <w:sz w:val="18"/>
              </w:rPr>
            </w:pPr>
            <w:r>
              <w:rPr>
                <w:spacing w:val="-5"/>
                <w:sz w:val="18"/>
              </w:rPr>
              <w:t>to.</w:t>
            </w:r>
          </w:p>
        </w:tc>
        <w:tc>
          <w:tcPr>
            <w:tcW w:w="1306" w:type="dxa"/>
          </w:tcPr>
          <w:p>
            <w:pPr>
              <w:pStyle w:val="TableParagraph"/>
              <w:rPr>
                <w:rFonts w:ascii="Times New Roman"/>
                <w:sz w:val="18"/>
              </w:rPr>
            </w:pPr>
          </w:p>
        </w:tc>
        <w:tc>
          <w:tcPr>
            <w:tcW w:w="1281" w:type="dxa"/>
          </w:tcPr>
          <w:p>
            <w:pPr>
              <w:pStyle w:val="TableParagraph"/>
              <w:ind w:left="103" w:right="84"/>
              <w:rPr>
                <w:sz w:val="18"/>
              </w:rPr>
            </w:pPr>
            <w:r>
              <w:rPr>
                <w:sz w:val="18"/>
              </w:rPr>
              <w:t>(Number of </w:t>
            </w:r>
            <w:r>
              <w:rPr>
                <w:spacing w:val="-2"/>
                <w:sz w:val="18"/>
              </w:rPr>
              <w:t>surgeries</w:t>
            </w:r>
            <w:r>
              <w:rPr>
                <w:sz w:val="18"/>
              </w:rPr>
              <w:t> where the WHO</w:t>
            </w:r>
            <w:r>
              <w:rPr>
                <w:spacing w:val="-2"/>
                <w:sz w:val="18"/>
              </w:rPr>
              <w:t> </w:t>
            </w:r>
            <w:r>
              <w:rPr>
                <w:sz w:val="18"/>
              </w:rPr>
              <w:t>safe </w:t>
            </w:r>
            <w:r>
              <w:rPr>
                <w:spacing w:val="-2"/>
                <w:sz w:val="18"/>
              </w:rPr>
              <w:t>surgery</w:t>
            </w:r>
            <w:r>
              <w:rPr>
                <w:sz w:val="18"/>
              </w:rPr>
              <w:t> checklist</w:t>
            </w:r>
            <w:r>
              <w:rPr>
                <w:spacing w:val="-4"/>
                <w:sz w:val="18"/>
              </w:rPr>
              <w:t> </w:t>
            </w:r>
            <w:r>
              <w:rPr>
                <w:sz w:val="18"/>
              </w:rPr>
              <w:t>was </w:t>
            </w:r>
            <w:r>
              <w:rPr>
                <w:spacing w:val="-2"/>
                <w:sz w:val="18"/>
              </w:rPr>
              <w:t>followed/Num</w:t>
            </w:r>
            <w:r>
              <w:rPr>
                <w:sz w:val="18"/>
              </w:rPr>
              <w:t> ber of surgeries</w:t>
            </w:r>
            <w:r>
              <w:rPr>
                <w:spacing w:val="-2"/>
                <w:sz w:val="18"/>
              </w:rPr>
              <w:t> </w:t>
            </w:r>
            <w:r>
              <w:rPr>
                <w:sz w:val="18"/>
              </w:rPr>
              <w:t>that </w:t>
            </w:r>
            <w:r>
              <w:rPr>
                <w:spacing w:val="-4"/>
                <w:sz w:val="18"/>
              </w:rPr>
              <w:t>were</w:t>
            </w:r>
            <w:r>
              <w:rPr>
                <w:sz w:val="18"/>
              </w:rPr>
              <w:t> </w:t>
            </w:r>
            <w:r>
              <w:rPr>
                <w:spacing w:val="-2"/>
                <w:sz w:val="18"/>
              </w:rPr>
              <w:t>audited)*100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25"/>
              <w:rPr>
                <w:sz w:val="18"/>
              </w:rPr>
            </w:pPr>
            <w:r>
              <w:rPr>
                <w:sz w:val="18"/>
              </w:rPr>
              <w:t>This should be done by a prospective audit. The audit shall be done when the surgery is</w:t>
            </w:r>
            <w:r>
              <w:rPr>
                <w:spacing w:val="40"/>
                <w:sz w:val="18"/>
              </w:rPr>
              <w:t> </w:t>
            </w:r>
            <w:r>
              <w:rPr>
                <w:sz w:val="18"/>
              </w:rPr>
              <w:t>being performed. A person(s) working in the</w:t>
            </w:r>
            <w:r>
              <w:rPr>
                <w:spacing w:val="40"/>
                <w:sz w:val="18"/>
              </w:rPr>
              <w:t> </w:t>
            </w:r>
            <w:r>
              <w:rPr>
                <w:sz w:val="18"/>
              </w:rPr>
              <w:t>OT complex could be entrusted with this responsibility.</w:t>
            </w:r>
            <w:r>
              <w:rPr>
                <w:spacing w:val="-3"/>
                <w:sz w:val="18"/>
              </w:rPr>
              <w:t> </w:t>
            </w:r>
            <w:r>
              <w:rPr>
                <w:sz w:val="18"/>
              </w:rPr>
              <w:t>It is</w:t>
            </w:r>
            <w:r>
              <w:rPr>
                <w:spacing w:val="-3"/>
                <w:sz w:val="18"/>
              </w:rPr>
              <w:t> </w:t>
            </w:r>
            <w:r>
              <w:rPr>
                <w:sz w:val="18"/>
              </w:rPr>
              <w:t>preferable</w:t>
            </w:r>
            <w:r>
              <w:rPr>
                <w:spacing w:val="-1"/>
                <w:sz w:val="18"/>
              </w:rPr>
              <w:t> </w:t>
            </w:r>
            <w:r>
              <w:rPr>
                <w:sz w:val="18"/>
              </w:rPr>
              <w:t>that the</w:t>
            </w:r>
            <w:r>
              <w:rPr>
                <w:spacing w:val="-9"/>
                <w:sz w:val="18"/>
              </w:rPr>
              <w:t> </w:t>
            </w:r>
            <w:r>
              <w:rPr>
                <w:sz w:val="18"/>
              </w:rPr>
              <w:t>identity</w:t>
            </w:r>
            <w:r>
              <w:rPr>
                <w:spacing w:val="-11"/>
                <w:sz w:val="18"/>
              </w:rPr>
              <w:t> </w:t>
            </w:r>
            <w:r>
              <w:rPr>
                <w:sz w:val="18"/>
              </w:rPr>
              <w:t>of</w:t>
            </w:r>
            <w:r>
              <w:rPr>
                <w:spacing w:val="-8"/>
                <w:sz w:val="18"/>
              </w:rPr>
              <w:t> </w:t>
            </w:r>
            <w:r>
              <w:rPr>
                <w:sz w:val="18"/>
              </w:rPr>
              <w:t>the</w:t>
            </w:r>
            <w:r>
              <w:rPr>
                <w:spacing w:val="-8"/>
                <w:sz w:val="18"/>
              </w:rPr>
              <w:t> </w:t>
            </w:r>
            <w:r>
              <w:rPr>
                <w:sz w:val="18"/>
              </w:rPr>
              <w:t>person</w:t>
            </w:r>
            <w:r>
              <w:rPr>
                <w:spacing w:val="-9"/>
                <w:sz w:val="18"/>
              </w:rPr>
              <w:t> </w:t>
            </w:r>
            <w:r>
              <w:rPr>
                <w:sz w:val="18"/>
              </w:rPr>
              <w:t>auditing is</w:t>
            </w:r>
            <w:r>
              <w:rPr>
                <w:spacing w:val="-4"/>
                <w:sz w:val="18"/>
              </w:rPr>
              <w:t> </w:t>
            </w:r>
            <w:r>
              <w:rPr>
                <w:sz w:val="18"/>
              </w:rPr>
              <w:t>anonymized</w:t>
            </w:r>
            <w:r>
              <w:rPr>
                <w:spacing w:val="-3"/>
                <w:sz w:val="18"/>
              </w:rPr>
              <w:t> </w:t>
            </w:r>
            <w:r>
              <w:rPr>
                <w:sz w:val="18"/>
              </w:rPr>
              <w:t>from</w:t>
            </w:r>
            <w:r>
              <w:rPr>
                <w:spacing w:val="-2"/>
                <w:sz w:val="18"/>
              </w:rPr>
              <w:t> </w:t>
            </w:r>
            <w:r>
              <w:rPr>
                <w:sz w:val="18"/>
              </w:rPr>
              <w:t>the</w:t>
            </w:r>
            <w:r>
              <w:rPr>
                <w:spacing w:val="-3"/>
                <w:sz w:val="18"/>
              </w:rPr>
              <w:t> </w:t>
            </w:r>
            <w:r>
              <w:rPr>
                <w:sz w:val="18"/>
              </w:rPr>
              <w:t>operating </w:t>
            </w:r>
            <w:r>
              <w:rPr>
                <w:spacing w:val="-2"/>
                <w:sz w:val="18"/>
              </w:rPr>
              <w:t>team.</w:t>
            </w:r>
          </w:p>
          <w:p>
            <w:pPr>
              <w:pStyle w:val="TableParagraph"/>
              <w:spacing w:before="12"/>
              <w:rPr>
                <w:rFonts w:ascii="Franklin Gothic Medium"/>
                <w:sz w:val="18"/>
              </w:rPr>
            </w:pPr>
          </w:p>
          <w:p>
            <w:pPr>
              <w:pStyle w:val="TableParagraph"/>
              <w:ind w:left="101"/>
              <w:rPr>
                <w:sz w:val="18"/>
              </w:rPr>
            </w:pPr>
            <w:r>
              <w:rPr>
                <w:sz w:val="18"/>
              </w:rPr>
              <w:t>Sampling:</w:t>
            </w:r>
            <w:r>
              <w:rPr>
                <w:spacing w:val="-2"/>
                <w:sz w:val="18"/>
              </w:rPr>
              <w:t> </w:t>
            </w:r>
            <w:r>
              <w:rPr>
                <w:spacing w:val="-5"/>
                <w:sz w:val="18"/>
              </w:rPr>
              <w:t>Yes</w:t>
            </w:r>
          </w:p>
          <w:p>
            <w:pPr>
              <w:pStyle w:val="TableParagraph"/>
              <w:spacing w:before="1"/>
              <w:ind w:left="101" w:right="156"/>
              <w:rPr>
                <w:sz w:val="18"/>
              </w:rPr>
            </w:pPr>
            <w:r>
              <w:rPr>
                <w:sz w:val="18"/>
              </w:rPr>
              <w:t>Sampling</w:t>
            </w:r>
            <w:r>
              <w:rPr>
                <w:spacing w:val="-11"/>
                <w:sz w:val="18"/>
              </w:rPr>
              <w:t> </w:t>
            </w:r>
            <w:r>
              <w:rPr>
                <w:sz w:val="18"/>
              </w:rPr>
              <w:t>methodology:</w:t>
            </w:r>
            <w:r>
              <w:rPr>
                <w:spacing w:val="-10"/>
                <w:sz w:val="18"/>
              </w:rPr>
              <w:t> </w:t>
            </w:r>
            <w:r>
              <w:rPr>
                <w:sz w:val="18"/>
              </w:rPr>
              <w:t>Stratified random (distributed across various days and operating </w:t>
            </w:r>
            <w:r>
              <w:rPr>
                <w:spacing w:val="-2"/>
                <w:sz w:val="18"/>
              </w:rPr>
              <w:t>surgeons).</w:t>
            </w:r>
          </w:p>
        </w:tc>
      </w:tr>
      <w:tr>
        <w:trPr>
          <w:trHeight w:val="8792"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03"/>
              <w:rPr>
                <w:rFonts w:ascii="Franklin Gothic Medium"/>
                <w:sz w:val="18"/>
              </w:rPr>
            </w:pPr>
          </w:p>
          <w:p>
            <w:pPr>
              <w:pStyle w:val="TableParagraph"/>
              <w:ind w:left="16"/>
              <w:jc w:val="center"/>
              <w:rPr>
                <w:sz w:val="18"/>
              </w:rPr>
            </w:pPr>
            <w:r>
              <w:rPr>
                <w:spacing w:val="-10"/>
                <w:sz w:val="18"/>
              </w:rPr>
              <w:t>5</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203"/>
              <w:rPr>
                <w:rFonts w:ascii="Franklin Gothic Medium"/>
                <w:sz w:val="18"/>
              </w:rPr>
            </w:pPr>
          </w:p>
          <w:p>
            <w:pPr>
              <w:pStyle w:val="TableParagraph"/>
              <w:ind w:left="109"/>
              <w:rPr>
                <w:b/>
                <w:sz w:val="18"/>
              </w:rPr>
            </w:pPr>
            <w:r>
              <w:rPr>
                <w:b/>
                <w:spacing w:val="-2"/>
                <w:sz w:val="18"/>
              </w:rPr>
              <w:t>PSQ.2.b</w:t>
            </w:r>
          </w:p>
        </w:tc>
        <w:tc>
          <w:tcPr>
            <w:tcW w:w="1066" w:type="dxa"/>
          </w:tcPr>
          <w:p>
            <w:pPr>
              <w:pStyle w:val="TableParagraph"/>
              <w:ind w:left="104" w:right="234"/>
              <w:jc w:val="both"/>
              <w:rPr>
                <w:sz w:val="18"/>
              </w:rPr>
            </w:pPr>
            <w:r>
              <w:rPr>
                <w:spacing w:val="-2"/>
                <w:sz w:val="18"/>
              </w:rPr>
              <w:t>Incidence</w:t>
            </w:r>
            <w:r>
              <w:rPr>
                <w:sz w:val="18"/>
              </w:rPr>
              <w:t> of</w:t>
            </w:r>
            <w:r>
              <w:rPr>
                <w:spacing w:val="-11"/>
                <w:sz w:val="18"/>
              </w:rPr>
              <w:t> </w:t>
            </w:r>
            <w:r>
              <w:rPr>
                <w:sz w:val="18"/>
              </w:rPr>
              <w:t>patient </w:t>
            </w:r>
            <w:r>
              <w:rPr>
                <w:spacing w:val="-4"/>
                <w:sz w:val="18"/>
              </w:rPr>
              <w:t>falls</w:t>
            </w:r>
          </w:p>
        </w:tc>
        <w:tc>
          <w:tcPr>
            <w:tcW w:w="1306" w:type="dxa"/>
          </w:tcPr>
          <w:p>
            <w:pPr>
              <w:pStyle w:val="TableParagraph"/>
              <w:ind w:left="103" w:right="105"/>
              <w:rPr>
                <w:sz w:val="18"/>
              </w:rPr>
            </w:pPr>
            <w:r>
              <w:rPr>
                <w:sz w:val="18"/>
              </w:rPr>
              <w:t>The US Department</w:t>
            </w:r>
            <w:r>
              <w:rPr>
                <w:spacing w:val="-11"/>
                <w:sz w:val="18"/>
              </w:rPr>
              <w:t> </w:t>
            </w:r>
            <w:r>
              <w:rPr>
                <w:sz w:val="18"/>
              </w:rPr>
              <w:t>of </w:t>
            </w:r>
            <w:r>
              <w:rPr>
                <w:spacing w:val="-2"/>
                <w:sz w:val="18"/>
              </w:rPr>
              <w:t>Veteran</w:t>
            </w:r>
            <w:r>
              <w:rPr>
                <w:spacing w:val="80"/>
                <w:sz w:val="18"/>
              </w:rPr>
              <w:t> </w:t>
            </w:r>
            <w:r>
              <w:rPr>
                <w:spacing w:val="-2"/>
                <w:sz w:val="18"/>
              </w:rPr>
              <w:t>Affairs</w:t>
            </w:r>
            <w:r>
              <w:rPr>
                <w:spacing w:val="40"/>
                <w:sz w:val="18"/>
              </w:rPr>
              <w:t> </w:t>
            </w:r>
            <w:r>
              <w:rPr>
                <w:spacing w:val="-2"/>
                <w:sz w:val="18"/>
              </w:rPr>
              <w:t>National</w:t>
            </w:r>
            <w:r>
              <w:rPr>
                <w:sz w:val="18"/>
              </w:rPr>
              <w:t> Centre for Patient</w:t>
            </w:r>
            <w:r>
              <w:rPr>
                <w:spacing w:val="-2"/>
                <w:sz w:val="18"/>
              </w:rPr>
              <w:t> </w:t>
            </w:r>
            <w:r>
              <w:rPr>
                <w:sz w:val="18"/>
              </w:rPr>
              <w:t>Safety defines fall as “Loss</w:t>
            </w:r>
            <w:r>
              <w:rPr>
                <w:spacing w:val="-4"/>
                <w:sz w:val="18"/>
              </w:rPr>
              <w:t> </w:t>
            </w:r>
            <w:r>
              <w:rPr>
                <w:sz w:val="18"/>
              </w:rPr>
              <w:t>of </w:t>
            </w:r>
            <w:r>
              <w:rPr>
                <w:spacing w:val="-2"/>
                <w:sz w:val="18"/>
              </w:rPr>
              <w:t>upright</w:t>
            </w:r>
            <w:r>
              <w:rPr>
                <w:sz w:val="18"/>
              </w:rPr>
              <w:t> position</w:t>
            </w:r>
            <w:r>
              <w:rPr>
                <w:spacing w:val="-2"/>
                <w:sz w:val="18"/>
              </w:rPr>
              <w:t> </w:t>
            </w:r>
            <w:r>
              <w:rPr>
                <w:sz w:val="18"/>
              </w:rPr>
              <w:t>that results</w:t>
            </w:r>
            <w:r>
              <w:rPr>
                <w:spacing w:val="-4"/>
                <w:sz w:val="18"/>
              </w:rPr>
              <w:t> </w:t>
            </w:r>
            <w:r>
              <w:rPr>
                <w:sz w:val="18"/>
              </w:rPr>
              <w:t>in landing</w:t>
            </w:r>
            <w:r>
              <w:rPr>
                <w:spacing w:val="-3"/>
                <w:sz w:val="18"/>
              </w:rPr>
              <w:t> </w:t>
            </w:r>
            <w:r>
              <w:rPr>
                <w:sz w:val="18"/>
              </w:rPr>
              <w:t>on</w:t>
            </w:r>
            <w:r>
              <w:rPr>
                <w:spacing w:val="-3"/>
                <w:sz w:val="18"/>
              </w:rPr>
              <w:t> </w:t>
            </w:r>
            <w:r>
              <w:rPr>
                <w:sz w:val="18"/>
              </w:rPr>
              <w:t>the floor ground</w:t>
            </w:r>
            <w:r>
              <w:rPr>
                <w:spacing w:val="40"/>
                <w:sz w:val="18"/>
              </w:rPr>
              <w:t> </w:t>
            </w:r>
            <w:r>
              <w:rPr>
                <w:sz w:val="18"/>
              </w:rPr>
              <w:t>or</w:t>
            </w:r>
            <w:r>
              <w:rPr>
                <w:spacing w:val="-9"/>
                <w:sz w:val="18"/>
              </w:rPr>
              <w:t> </w:t>
            </w:r>
            <w:r>
              <w:rPr>
                <w:sz w:val="18"/>
              </w:rPr>
              <w:t>an</w:t>
            </w:r>
            <w:r>
              <w:rPr>
                <w:spacing w:val="-11"/>
                <w:sz w:val="18"/>
              </w:rPr>
              <w:t> </w:t>
            </w:r>
            <w:r>
              <w:rPr>
                <w:sz w:val="18"/>
              </w:rPr>
              <w:t>object</w:t>
            </w:r>
            <w:r>
              <w:rPr>
                <w:spacing w:val="-10"/>
                <w:sz w:val="18"/>
              </w:rPr>
              <w:t> </w:t>
            </w:r>
            <w:r>
              <w:rPr>
                <w:sz w:val="18"/>
              </w:rPr>
              <w:t>or furniture or a </w:t>
            </w:r>
            <w:r>
              <w:rPr>
                <w:spacing w:val="-2"/>
                <w:sz w:val="18"/>
              </w:rPr>
              <w:t>sudden,</w:t>
            </w:r>
            <w:r>
              <w:rPr>
                <w:sz w:val="18"/>
              </w:rPr>
              <w:t> </w:t>
            </w:r>
            <w:r>
              <w:rPr>
                <w:spacing w:val="-2"/>
                <w:sz w:val="18"/>
              </w:rPr>
              <w:t>uncontrolled,</w:t>
            </w:r>
            <w:r>
              <w:rPr>
                <w:sz w:val="18"/>
              </w:rPr>
              <w:t> </w:t>
            </w:r>
            <w:r>
              <w:rPr>
                <w:spacing w:val="-2"/>
                <w:sz w:val="18"/>
              </w:rPr>
              <w:t>unintentional,</w:t>
            </w:r>
            <w:r>
              <w:rPr>
                <w:sz w:val="18"/>
              </w:rPr>
              <w:t> non-</w:t>
            </w:r>
            <w:r>
              <w:rPr>
                <w:spacing w:val="-2"/>
                <w:sz w:val="18"/>
              </w:rPr>
              <w:t>purposeful,</w:t>
            </w:r>
            <w:r>
              <w:rPr>
                <w:sz w:val="18"/>
              </w:rPr>
              <w:t> </w:t>
            </w:r>
            <w:r>
              <w:rPr>
                <w:spacing w:val="-2"/>
                <w:sz w:val="18"/>
              </w:rPr>
              <w:t>downward</w:t>
            </w:r>
            <w:r>
              <w:rPr>
                <w:sz w:val="18"/>
              </w:rPr>
              <w:t> </w:t>
            </w:r>
            <w:r>
              <w:rPr>
                <w:spacing w:val="-2"/>
                <w:sz w:val="18"/>
              </w:rPr>
              <w:t>displacement</w:t>
            </w:r>
            <w:r>
              <w:rPr>
                <w:sz w:val="18"/>
              </w:rPr>
              <w:t> of the body to </w:t>
            </w:r>
            <w:r>
              <w:rPr>
                <w:spacing w:val="-4"/>
                <w:sz w:val="18"/>
              </w:rPr>
              <w:t>the</w:t>
            </w:r>
            <w:r>
              <w:rPr>
                <w:sz w:val="18"/>
              </w:rPr>
              <w:t> </w:t>
            </w:r>
            <w:r>
              <w:rPr>
                <w:spacing w:val="-2"/>
                <w:sz w:val="18"/>
              </w:rPr>
              <w:t>floor/ground</w:t>
            </w:r>
            <w:r>
              <w:rPr>
                <w:spacing w:val="40"/>
                <w:sz w:val="18"/>
              </w:rPr>
              <w:t> </w:t>
            </w:r>
            <w:r>
              <w:rPr>
                <w:sz w:val="18"/>
              </w:rPr>
              <w:t>or hitting another</w:t>
            </w:r>
            <w:r>
              <w:rPr>
                <w:spacing w:val="-11"/>
                <w:sz w:val="18"/>
              </w:rPr>
              <w:t> </w:t>
            </w:r>
            <w:r>
              <w:rPr>
                <w:sz w:val="18"/>
              </w:rPr>
              <w:t>object like a chair or </w:t>
            </w:r>
            <w:r>
              <w:rPr>
                <w:spacing w:val="-2"/>
                <w:sz w:val="18"/>
              </w:rPr>
              <w:t>stair.”</w:t>
            </w:r>
          </w:p>
          <w:p>
            <w:pPr>
              <w:pStyle w:val="TableParagraph"/>
              <w:spacing w:before="15"/>
              <w:rPr>
                <w:rFonts w:ascii="Franklin Gothic Medium"/>
                <w:sz w:val="18"/>
              </w:rPr>
            </w:pPr>
          </w:p>
          <w:p>
            <w:pPr>
              <w:pStyle w:val="TableParagraph"/>
              <w:ind w:left="103" w:right="118"/>
              <w:rPr>
                <w:sz w:val="18"/>
              </w:rPr>
            </w:pPr>
            <w:r>
              <w:rPr>
                <w:sz w:val="18"/>
              </w:rPr>
              <w:t>It is an event that results in a</w:t>
            </w:r>
            <w:r>
              <w:rPr>
                <w:spacing w:val="-4"/>
                <w:sz w:val="18"/>
              </w:rPr>
              <w:t> </w:t>
            </w:r>
            <w:r>
              <w:rPr>
                <w:sz w:val="18"/>
              </w:rPr>
              <w:t>person coming</w:t>
            </w:r>
            <w:r>
              <w:rPr>
                <w:spacing w:val="-11"/>
                <w:sz w:val="18"/>
              </w:rPr>
              <w:t> </w:t>
            </w:r>
            <w:r>
              <w:rPr>
                <w:sz w:val="18"/>
              </w:rPr>
              <w:t>to</w:t>
            </w:r>
            <w:r>
              <w:rPr>
                <w:spacing w:val="-10"/>
                <w:sz w:val="18"/>
              </w:rPr>
              <w:t> </w:t>
            </w:r>
            <w:r>
              <w:rPr>
                <w:sz w:val="18"/>
              </w:rPr>
              <w:t>rest </w:t>
            </w:r>
            <w:r>
              <w:rPr>
                <w:spacing w:val="-2"/>
                <w:sz w:val="18"/>
              </w:rPr>
              <w:t>inadvertently</w:t>
            </w:r>
            <w:r>
              <w:rPr>
                <w:sz w:val="18"/>
              </w:rPr>
              <w:t> on</w:t>
            </w:r>
            <w:r>
              <w:rPr>
                <w:spacing w:val="-11"/>
                <w:sz w:val="18"/>
              </w:rPr>
              <w:t> </w:t>
            </w:r>
            <w:r>
              <w:rPr>
                <w:sz w:val="18"/>
              </w:rPr>
              <w:t>the</w:t>
            </w:r>
            <w:r>
              <w:rPr>
                <w:spacing w:val="-10"/>
                <w:sz w:val="18"/>
              </w:rPr>
              <w:t> </w:t>
            </w:r>
            <w:r>
              <w:rPr>
                <w:sz w:val="18"/>
              </w:rPr>
              <w:t>ground or floor or other lower</w:t>
            </w:r>
          </w:p>
          <w:p>
            <w:pPr>
              <w:pStyle w:val="TableParagraph"/>
              <w:spacing w:line="201" w:lineRule="exact" w:before="3"/>
              <w:ind w:left="103"/>
              <w:rPr>
                <w:sz w:val="18"/>
              </w:rPr>
            </w:pPr>
            <w:r>
              <w:rPr>
                <w:spacing w:val="-2"/>
                <w:sz w:val="18"/>
              </w:rPr>
              <w:t>level.</w:t>
            </w:r>
          </w:p>
        </w:tc>
        <w:tc>
          <w:tcPr>
            <w:tcW w:w="1281" w:type="dxa"/>
          </w:tcPr>
          <w:p>
            <w:pPr>
              <w:pStyle w:val="TableParagraph"/>
              <w:ind w:left="103" w:right="312"/>
              <w:rPr>
                <w:sz w:val="18"/>
              </w:rPr>
            </w:pPr>
            <w:r>
              <w:rPr>
                <w:sz w:val="18"/>
              </w:rPr>
              <w:t>(Number</w:t>
            </w:r>
            <w:r>
              <w:rPr>
                <w:spacing w:val="-11"/>
                <w:sz w:val="18"/>
              </w:rPr>
              <w:t> </w:t>
            </w:r>
            <w:r>
              <w:rPr>
                <w:sz w:val="18"/>
              </w:rPr>
              <w:t>of </w:t>
            </w:r>
            <w:r>
              <w:rPr>
                <w:spacing w:val="-2"/>
                <w:sz w:val="18"/>
              </w:rPr>
              <w:t>patient</w:t>
            </w:r>
            <w:r>
              <w:rPr>
                <w:sz w:val="18"/>
              </w:rPr>
              <w:t> </w:t>
            </w:r>
            <w:r>
              <w:rPr>
                <w:spacing w:val="-2"/>
                <w:sz w:val="18"/>
              </w:rPr>
              <w:t>falls/Total</w:t>
            </w:r>
            <w:r>
              <w:rPr>
                <w:sz w:val="18"/>
              </w:rPr>
              <w:t> number of </w:t>
            </w:r>
            <w:r>
              <w:rPr>
                <w:spacing w:val="-2"/>
                <w:sz w:val="18"/>
              </w:rPr>
              <w:t>inpatient</w:t>
            </w:r>
            <w:r>
              <w:rPr>
                <w:sz w:val="18"/>
              </w:rPr>
              <w:t> </w:t>
            </w:r>
            <w:r>
              <w:rPr>
                <w:spacing w:val="-2"/>
                <w:sz w:val="18"/>
              </w:rPr>
              <w:t>days)*1000</w:t>
            </w:r>
          </w:p>
        </w:tc>
        <w:tc>
          <w:tcPr>
            <w:tcW w:w="901" w:type="dxa"/>
          </w:tcPr>
          <w:p>
            <w:pPr>
              <w:pStyle w:val="TableParagraph"/>
              <w:spacing w:line="218" w:lineRule="exact"/>
              <w:ind w:left="107"/>
              <w:rPr>
                <w:sz w:val="18"/>
              </w:rPr>
            </w:pPr>
            <w:r>
              <w:rPr>
                <w:spacing w:val="-2"/>
                <w:sz w:val="18"/>
              </w:rPr>
              <w:t>/1000</w:t>
            </w:r>
          </w:p>
          <w:p>
            <w:pPr>
              <w:pStyle w:val="TableParagraph"/>
              <w:ind w:left="107" w:right="251"/>
              <w:rPr>
                <w:sz w:val="18"/>
              </w:rPr>
            </w:pPr>
            <w:r>
              <w:rPr>
                <w:spacing w:val="-2"/>
                <w:sz w:val="18"/>
              </w:rPr>
              <w:t>patient</w:t>
            </w:r>
            <w:r>
              <w:rPr>
                <w:sz w:val="18"/>
              </w:rPr>
              <w:t> </w:t>
            </w:r>
            <w:r>
              <w:rPr>
                <w:spacing w:val="-4"/>
                <w:sz w:val="18"/>
              </w:rPr>
              <w:t>days</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spacing w:line="218" w:lineRule="exact"/>
              <w:ind w:left="101"/>
              <w:rPr>
                <w:sz w:val="18"/>
              </w:rPr>
            </w:pPr>
            <w:r>
              <w:rPr>
                <w:sz w:val="18"/>
              </w:rPr>
              <w:t>Falls</w:t>
            </w:r>
            <w:r>
              <w:rPr>
                <w:spacing w:val="-5"/>
                <w:sz w:val="18"/>
              </w:rPr>
              <w:t> </w:t>
            </w:r>
            <w:r>
              <w:rPr>
                <w:sz w:val="18"/>
              </w:rPr>
              <w:t>may</w:t>
            </w:r>
            <w:r>
              <w:rPr>
                <w:spacing w:val="-5"/>
                <w:sz w:val="18"/>
              </w:rPr>
              <w:t> be:</w:t>
            </w:r>
          </w:p>
          <w:p>
            <w:pPr>
              <w:pStyle w:val="TableParagraph"/>
              <w:spacing w:before="16"/>
              <w:rPr>
                <w:rFonts w:ascii="Franklin Gothic Medium"/>
                <w:sz w:val="18"/>
              </w:rPr>
            </w:pPr>
          </w:p>
          <w:p>
            <w:pPr>
              <w:pStyle w:val="TableParagraph"/>
              <w:numPr>
                <w:ilvl w:val="0"/>
                <w:numId w:val="1"/>
              </w:numPr>
              <w:tabs>
                <w:tab w:pos="230" w:val="left" w:leader="none"/>
              </w:tabs>
              <w:spacing w:line="240" w:lineRule="auto" w:before="0" w:after="0"/>
              <w:ind w:left="101" w:right="243" w:firstLine="0"/>
              <w:jc w:val="left"/>
              <w:rPr>
                <w:sz w:val="18"/>
              </w:rPr>
            </w:pPr>
            <w:r>
              <w:rPr>
                <w:sz w:val="18"/>
              </w:rPr>
              <w:t>at different levels – i.e., from one level to ground level, for example</w:t>
            </w:r>
            <w:r>
              <w:rPr>
                <w:spacing w:val="-11"/>
                <w:sz w:val="18"/>
              </w:rPr>
              <w:t> </w:t>
            </w:r>
            <w:r>
              <w:rPr>
                <w:sz w:val="18"/>
              </w:rPr>
              <w:t>from</w:t>
            </w:r>
            <w:r>
              <w:rPr>
                <w:spacing w:val="-10"/>
                <w:sz w:val="18"/>
              </w:rPr>
              <w:t> </w:t>
            </w:r>
            <w:r>
              <w:rPr>
                <w:sz w:val="18"/>
              </w:rPr>
              <w:t>beds,</w:t>
            </w:r>
            <w:r>
              <w:rPr>
                <w:spacing w:val="-10"/>
                <w:sz w:val="18"/>
              </w:rPr>
              <w:t> </w:t>
            </w:r>
            <w:r>
              <w:rPr>
                <w:sz w:val="18"/>
              </w:rPr>
              <w:t>wheelchairs or downstairs</w:t>
            </w:r>
          </w:p>
          <w:p>
            <w:pPr>
              <w:pStyle w:val="TableParagraph"/>
              <w:numPr>
                <w:ilvl w:val="0"/>
                <w:numId w:val="1"/>
              </w:numPr>
              <w:tabs>
                <w:tab w:pos="230" w:val="left" w:leader="none"/>
              </w:tabs>
              <w:spacing w:line="240" w:lineRule="auto" w:before="1" w:after="0"/>
              <w:ind w:left="101" w:right="146" w:firstLine="0"/>
              <w:jc w:val="left"/>
              <w:rPr>
                <w:sz w:val="18"/>
              </w:rPr>
            </w:pPr>
            <w:r>
              <w:rPr>
                <w:sz w:val="18"/>
              </w:rPr>
              <w:t>on the same level as a result of slipping,</w:t>
            </w:r>
            <w:r>
              <w:rPr>
                <w:spacing w:val="-11"/>
                <w:sz w:val="18"/>
              </w:rPr>
              <w:t> </w:t>
            </w:r>
            <w:r>
              <w:rPr>
                <w:sz w:val="18"/>
              </w:rPr>
              <w:t>tripping,</w:t>
            </w:r>
            <w:r>
              <w:rPr>
                <w:spacing w:val="-10"/>
                <w:sz w:val="18"/>
              </w:rPr>
              <w:t> </w:t>
            </w:r>
            <w:r>
              <w:rPr>
                <w:sz w:val="18"/>
              </w:rPr>
              <w:t>or</w:t>
            </w:r>
            <w:r>
              <w:rPr>
                <w:spacing w:val="-10"/>
                <w:sz w:val="18"/>
              </w:rPr>
              <w:t> </w:t>
            </w:r>
            <w:r>
              <w:rPr>
                <w:sz w:val="18"/>
              </w:rPr>
              <w:t>stumbling,</w:t>
            </w:r>
            <w:r>
              <w:rPr>
                <w:spacing w:val="-10"/>
                <w:sz w:val="18"/>
              </w:rPr>
              <w:t> </w:t>
            </w:r>
            <w:r>
              <w:rPr>
                <w:sz w:val="18"/>
              </w:rPr>
              <w:t>or from a collision, pushing, or shoving, by or with another </w:t>
            </w:r>
            <w:r>
              <w:rPr>
                <w:spacing w:val="-2"/>
                <w:sz w:val="18"/>
              </w:rPr>
              <w:t>person</w:t>
            </w:r>
          </w:p>
          <w:p>
            <w:pPr>
              <w:pStyle w:val="TableParagraph"/>
              <w:numPr>
                <w:ilvl w:val="0"/>
                <w:numId w:val="1"/>
              </w:numPr>
              <w:tabs>
                <w:tab w:pos="230" w:val="left" w:leader="none"/>
              </w:tabs>
              <w:spacing w:line="240" w:lineRule="auto" w:before="0" w:after="0"/>
              <w:ind w:left="101" w:right="328" w:firstLine="0"/>
              <w:jc w:val="left"/>
              <w:rPr>
                <w:sz w:val="18"/>
              </w:rPr>
            </w:pPr>
            <w:r>
              <w:rPr>
                <w:sz w:val="18"/>
              </w:rPr>
              <w:t>below</w:t>
            </w:r>
            <w:r>
              <w:rPr>
                <w:spacing w:val="-8"/>
                <w:sz w:val="18"/>
              </w:rPr>
              <w:t> </w:t>
            </w:r>
            <w:r>
              <w:rPr>
                <w:sz w:val="18"/>
              </w:rPr>
              <w:t>ground</w:t>
            </w:r>
            <w:r>
              <w:rPr>
                <w:spacing w:val="-8"/>
                <w:sz w:val="18"/>
              </w:rPr>
              <w:t> </w:t>
            </w:r>
            <w:r>
              <w:rPr>
                <w:sz w:val="18"/>
              </w:rPr>
              <w:t>level,</w:t>
            </w:r>
            <w:r>
              <w:rPr>
                <w:spacing w:val="-9"/>
                <w:sz w:val="18"/>
              </w:rPr>
              <w:t> </w:t>
            </w:r>
            <w:r>
              <w:rPr>
                <w:sz w:val="18"/>
              </w:rPr>
              <w:t>i.e.</w:t>
            </w:r>
            <w:r>
              <w:rPr>
                <w:spacing w:val="-10"/>
                <w:sz w:val="18"/>
              </w:rPr>
              <w:t> </w:t>
            </w:r>
            <w:r>
              <w:rPr>
                <w:sz w:val="18"/>
              </w:rPr>
              <w:t>into</w:t>
            </w:r>
            <w:r>
              <w:rPr>
                <w:spacing w:val="-9"/>
                <w:sz w:val="18"/>
              </w:rPr>
              <w:t> </w:t>
            </w:r>
            <w:r>
              <w:rPr>
                <w:sz w:val="18"/>
              </w:rPr>
              <w:t>a hole or other opening in the </w:t>
            </w:r>
            <w:r>
              <w:rPr>
                <w:spacing w:val="-2"/>
                <w:sz w:val="18"/>
              </w:rPr>
              <w:t>surface</w:t>
            </w:r>
          </w:p>
          <w:p>
            <w:pPr>
              <w:pStyle w:val="TableParagraph"/>
              <w:spacing w:before="14"/>
              <w:rPr>
                <w:rFonts w:ascii="Franklin Gothic Medium"/>
                <w:sz w:val="18"/>
              </w:rPr>
            </w:pPr>
          </w:p>
          <w:p>
            <w:pPr>
              <w:pStyle w:val="TableParagraph"/>
              <w:ind w:left="101"/>
              <w:rPr>
                <w:sz w:val="18"/>
              </w:rPr>
            </w:pPr>
            <w:r>
              <w:rPr>
                <w:sz w:val="18"/>
              </w:rPr>
              <w:t>All</w:t>
            </w:r>
            <w:r>
              <w:rPr>
                <w:spacing w:val="-5"/>
                <w:sz w:val="18"/>
              </w:rPr>
              <w:t> </w:t>
            </w:r>
            <w:r>
              <w:rPr>
                <w:sz w:val="18"/>
              </w:rPr>
              <w:t>types</w:t>
            </w:r>
            <w:r>
              <w:rPr>
                <w:spacing w:val="-3"/>
                <w:sz w:val="18"/>
              </w:rPr>
              <w:t> </w:t>
            </w:r>
            <w:r>
              <w:rPr>
                <w:sz w:val="18"/>
              </w:rPr>
              <w:t>of</w:t>
            </w:r>
            <w:r>
              <w:rPr>
                <w:spacing w:val="-2"/>
                <w:sz w:val="18"/>
              </w:rPr>
              <w:t> </w:t>
            </w:r>
            <w:r>
              <w:rPr>
                <w:sz w:val="18"/>
              </w:rPr>
              <w:t>falls</w:t>
            </w:r>
            <w:r>
              <w:rPr>
                <w:spacing w:val="-3"/>
                <w:sz w:val="18"/>
              </w:rPr>
              <w:t> </w:t>
            </w:r>
            <w:r>
              <w:rPr>
                <w:sz w:val="18"/>
              </w:rPr>
              <w:t>are</w:t>
            </w:r>
            <w:r>
              <w:rPr>
                <w:spacing w:val="-1"/>
                <w:sz w:val="18"/>
              </w:rPr>
              <w:t> </w:t>
            </w:r>
            <w:r>
              <w:rPr>
                <w:sz w:val="18"/>
              </w:rPr>
              <w:t>to</w:t>
            </w:r>
            <w:r>
              <w:rPr>
                <w:spacing w:val="-2"/>
                <w:sz w:val="18"/>
              </w:rPr>
              <w:t> </w:t>
            </w:r>
            <w:r>
              <w:rPr>
                <w:spacing w:val="-5"/>
                <w:sz w:val="18"/>
              </w:rPr>
              <w:t>be</w:t>
            </w:r>
          </w:p>
          <w:p>
            <w:pPr>
              <w:pStyle w:val="TableParagraph"/>
              <w:spacing w:before="1"/>
              <w:ind w:left="101" w:right="102"/>
              <w:rPr>
                <w:sz w:val="18"/>
              </w:rPr>
            </w:pPr>
            <w:r>
              <w:rPr>
                <w:sz w:val="18"/>
              </w:rPr>
              <w:t>included</w:t>
            </w:r>
            <w:r>
              <w:rPr>
                <w:spacing w:val="-9"/>
                <w:sz w:val="18"/>
              </w:rPr>
              <w:t> </w:t>
            </w:r>
            <w:r>
              <w:rPr>
                <w:sz w:val="18"/>
              </w:rPr>
              <w:t>whether</w:t>
            </w:r>
            <w:r>
              <w:rPr>
                <w:spacing w:val="-8"/>
                <w:sz w:val="18"/>
              </w:rPr>
              <w:t> </w:t>
            </w:r>
            <w:r>
              <w:rPr>
                <w:sz w:val="18"/>
              </w:rPr>
              <w:t>they</w:t>
            </w:r>
            <w:r>
              <w:rPr>
                <w:spacing w:val="-11"/>
                <w:sz w:val="18"/>
              </w:rPr>
              <w:t> </w:t>
            </w:r>
            <w:r>
              <w:rPr>
                <w:sz w:val="18"/>
              </w:rPr>
              <w:t>result</w:t>
            </w:r>
            <w:r>
              <w:rPr>
                <w:spacing w:val="-8"/>
                <w:sz w:val="18"/>
              </w:rPr>
              <w:t> </w:t>
            </w:r>
            <w:r>
              <w:rPr>
                <w:sz w:val="18"/>
              </w:rPr>
              <w:t>from physiological reasons (fainting) or environmental reasons. Assisted falls (when another person attempts to minimize the impact of the fall by assisting the</w:t>
            </w:r>
          </w:p>
          <w:p>
            <w:pPr>
              <w:pStyle w:val="TableParagraph"/>
              <w:spacing w:before="2"/>
              <w:ind w:left="101" w:right="123"/>
              <w:rPr>
                <w:sz w:val="18"/>
              </w:rPr>
            </w:pPr>
            <w:r>
              <w:rPr>
                <w:sz w:val="18"/>
              </w:rPr>
              <w:t>patient’s</w:t>
            </w:r>
            <w:r>
              <w:rPr>
                <w:spacing w:val="-11"/>
                <w:sz w:val="18"/>
              </w:rPr>
              <w:t> </w:t>
            </w:r>
            <w:r>
              <w:rPr>
                <w:sz w:val="18"/>
              </w:rPr>
              <w:t>descent</w:t>
            </w:r>
            <w:r>
              <w:rPr>
                <w:spacing w:val="-10"/>
                <w:sz w:val="18"/>
              </w:rPr>
              <w:t> </w:t>
            </w:r>
            <w:r>
              <w:rPr>
                <w:sz w:val="18"/>
              </w:rPr>
              <w:t>to</w:t>
            </w:r>
            <w:r>
              <w:rPr>
                <w:spacing w:val="-10"/>
                <w:sz w:val="18"/>
              </w:rPr>
              <w:t> </w:t>
            </w:r>
            <w:r>
              <w:rPr>
                <w:sz w:val="18"/>
              </w:rPr>
              <w:t>the</w:t>
            </w:r>
            <w:r>
              <w:rPr>
                <w:spacing w:val="-10"/>
                <w:sz w:val="18"/>
              </w:rPr>
              <w:t> </w:t>
            </w:r>
            <w:r>
              <w:rPr>
                <w:sz w:val="18"/>
              </w:rPr>
              <w:t>floor) should be included. (NDNQI, </w:t>
            </w:r>
            <w:r>
              <w:rPr>
                <w:spacing w:val="-2"/>
                <w:sz w:val="18"/>
              </w:rPr>
              <w:t>2005).</w:t>
            </w:r>
          </w:p>
          <w:p>
            <w:pPr>
              <w:pStyle w:val="TableParagraph"/>
              <w:spacing w:before="16"/>
              <w:rPr>
                <w:rFonts w:ascii="Franklin Gothic Medium"/>
                <w:sz w:val="18"/>
              </w:rPr>
            </w:pPr>
          </w:p>
          <w:p>
            <w:pPr>
              <w:pStyle w:val="TableParagraph"/>
              <w:spacing w:before="1"/>
              <w:ind w:left="101"/>
              <w:rPr>
                <w:sz w:val="18"/>
              </w:rPr>
            </w:pPr>
            <w:r>
              <w:rPr>
                <w:sz w:val="18"/>
              </w:rPr>
              <w:t>Sampling:</w:t>
            </w:r>
            <w:r>
              <w:rPr>
                <w:spacing w:val="-2"/>
                <w:sz w:val="18"/>
              </w:rPr>
              <w:t> </w:t>
            </w:r>
            <w:r>
              <w:rPr>
                <w:spacing w:val="-5"/>
                <w:sz w:val="18"/>
              </w:rPr>
              <w:t>No</w:t>
            </w:r>
          </w:p>
        </w:tc>
      </w:tr>
    </w:tbl>
    <w:p>
      <w:pPr>
        <w:pStyle w:val="TableParagraph"/>
        <w:spacing w:after="0"/>
        <w:rPr>
          <w:sz w:val="18"/>
        </w:rPr>
        <w:sectPr>
          <w:type w:val="continuous"/>
          <w:pgSz w:w="10800" w:h="15600"/>
          <w:pgMar w:header="232" w:footer="0" w:top="1040" w:bottom="280" w:left="360" w:right="0"/>
        </w:sect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4616"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53"/>
              <w:rPr>
                <w:rFonts w:ascii="Franklin Gothic Medium"/>
                <w:sz w:val="18"/>
              </w:rPr>
            </w:pPr>
          </w:p>
          <w:p>
            <w:pPr>
              <w:pStyle w:val="TableParagraph"/>
              <w:ind w:left="16"/>
              <w:jc w:val="center"/>
              <w:rPr>
                <w:sz w:val="18"/>
              </w:rPr>
            </w:pPr>
            <w:r>
              <w:rPr>
                <w:spacing w:val="-10"/>
                <w:sz w:val="18"/>
              </w:rPr>
              <w:t>6</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53"/>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13"/>
              <w:rPr>
                <w:sz w:val="18"/>
              </w:rPr>
            </w:pPr>
            <w:r>
              <w:rPr>
                <w:spacing w:val="-2"/>
                <w:sz w:val="18"/>
              </w:rPr>
              <w:t>Percentage</w:t>
            </w:r>
            <w:r>
              <w:rPr>
                <w:sz w:val="18"/>
              </w:rPr>
              <w:t> of</w:t>
            </w:r>
            <w:r>
              <w:rPr>
                <w:spacing w:val="-9"/>
                <w:sz w:val="18"/>
              </w:rPr>
              <w:t> </w:t>
            </w:r>
            <w:r>
              <w:rPr>
                <w:sz w:val="18"/>
              </w:rPr>
              <w:t>safe</w:t>
            </w:r>
            <w:r>
              <w:rPr>
                <w:spacing w:val="-9"/>
                <w:sz w:val="18"/>
              </w:rPr>
              <w:t> </w:t>
            </w:r>
            <w:r>
              <w:rPr>
                <w:sz w:val="18"/>
              </w:rPr>
              <w:t>and </w:t>
            </w:r>
            <w:r>
              <w:rPr>
                <w:spacing w:val="-2"/>
                <w:sz w:val="18"/>
              </w:rPr>
              <w:t>rational</w:t>
            </w:r>
            <w:r>
              <w:rPr>
                <w:sz w:val="18"/>
              </w:rPr>
              <w:t> </w:t>
            </w:r>
            <w:r>
              <w:rPr>
                <w:spacing w:val="-2"/>
                <w:sz w:val="18"/>
              </w:rPr>
              <w:t>prescriptio</w:t>
            </w:r>
            <w:r>
              <w:rPr>
                <w:sz w:val="18"/>
              </w:rPr>
              <w:t> </w:t>
            </w:r>
            <w:r>
              <w:rPr>
                <w:spacing w:val="-6"/>
                <w:sz w:val="18"/>
              </w:rPr>
              <w:t>ns</w:t>
            </w:r>
          </w:p>
        </w:tc>
        <w:tc>
          <w:tcPr>
            <w:tcW w:w="1306" w:type="dxa"/>
          </w:tcPr>
          <w:p>
            <w:pPr>
              <w:pStyle w:val="TableParagraph"/>
              <w:ind w:left="103" w:right="105"/>
              <w:rPr>
                <w:sz w:val="18"/>
              </w:rPr>
            </w:pPr>
            <w:r>
              <w:rPr>
                <w:sz w:val="18"/>
              </w:rPr>
              <w:t>Rational</w:t>
            </w:r>
            <w:r>
              <w:rPr>
                <w:spacing w:val="-11"/>
                <w:sz w:val="18"/>
              </w:rPr>
              <w:t> </w:t>
            </w:r>
            <w:r>
              <w:rPr>
                <w:sz w:val="18"/>
              </w:rPr>
              <w:t>use</w:t>
            </w:r>
            <w:r>
              <w:rPr>
                <w:spacing w:val="-10"/>
                <w:sz w:val="18"/>
              </w:rPr>
              <w:t> </w:t>
            </w:r>
            <w:r>
              <w:rPr>
                <w:sz w:val="18"/>
              </w:rPr>
              <w:t>of </w:t>
            </w:r>
            <w:r>
              <w:rPr>
                <w:spacing w:val="-2"/>
                <w:sz w:val="18"/>
              </w:rPr>
              <w:t>medicines</w:t>
            </w:r>
            <w:r>
              <w:rPr>
                <w:sz w:val="18"/>
              </w:rPr>
              <w:t> requires</w:t>
            </w:r>
            <w:r>
              <w:rPr>
                <w:spacing w:val="-2"/>
                <w:sz w:val="18"/>
              </w:rPr>
              <w:t> </w:t>
            </w:r>
            <w:r>
              <w:rPr>
                <w:sz w:val="18"/>
              </w:rPr>
              <w:t>that </w:t>
            </w:r>
            <w:r>
              <w:rPr>
                <w:spacing w:val="-2"/>
                <w:sz w:val="18"/>
              </w:rPr>
              <w:t>patients</w:t>
            </w:r>
            <w:r>
              <w:rPr>
                <w:sz w:val="18"/>
              </w:rPr>
              <w:t> </w:t>
            </w:r>
            <w:r>
              <w:rPr>
                <w:spacing w:val="-2"/>
                <w:sz w:val="18"/>
              </w:rPr>
              <w:t>receive</w:t>
            </w:r>
            <w:r>
              <w:rPr>
                <w:sz w:val="18"/>
              </w:rPr>
              <w:t> </w:t>
            </w:r>
            <w:r>
              <w:rPr>
                <w:spacing w:val="-2"/>
                <w:sz w:val="18"/>
              </w:rPr>
              <w:t>medications</w:t>
            </w:r>
            <w:r>
              <w:rPr>
                <w:sz w:val="18"/>
              </w:rPr>
              <w:t> appropriate</w:t>
            </w:r>
            <w:r>
              <w:rPr>
                <w:spacing w:val="-11"/>
                <w:sz w:val="18"/>
              </w:rPr>
              <w:t> </w:t>
            </w:r>
            <w:r>
              <w:rPr>
                <w:sz w:val="18"/>
              </w:rPr>
              <w:t>to their clinical needs,</w:t>
            </w:r>
            <w:r>
              <w:rPr>
                <w:spacing w:val="-2"/>
                <w:sz w:val="18"/>
              </w:rPr>
              <w:t> </w:t>
            </w:r>
            <w:r>
              <w:rPr>
                <w:sz w:val="18"/>
              </w:rPr>
              <w:t>in</w:t>
            </w:r>
            <w:r>
              <w:rPr>
                <w:spacing w:val="40"/>
                <w:sz w:val="18"/>
              </w:rPr>
              <w:t> </w:t>
            </w:r>
            <w:r>
              <w:rPr>
                <w:sz w:val="18"/>
              </w:rPr>
              <w:t>doses</w:t>
            </w:r>
            <w:r>
              <w:rPr>
                <w:spacing w:val="-4"/>
                <w:sz w:val="18"/>
              </w:rPr>
              <w:t> </w:t>
            </w:r>
            <w:r>
              <w:rPr>
                <w:sz w:val="18"/>
              </w:rPr>
              <w:t>that meet</w:t>
            </w:r>
            <w:r>
              <w:rPr>
                <w:spacing w:val="-2"/>
                <w:sz w:val="18"/>
              </w:rPr>
              <w:t> </w:t>
            </w:r>
            <w:r>
              <w:rPr>
                <w:sz w:val="18"/>
              </w:rPr>
              <w:t>their</w:t>
            </w:r>
            <w:r>
              <w:rPr>
                <w:spacing w:val="40"/>
                <w:sz w:val="18"/>
              </w:rPr>
              <w:t> </w:t>
            </w:r>
            <w:r>
              <w:rPr>
                <w:sz w:val="18"/>
              </w:rPr>
              <w:t>own</w:t>
            </w:r>
            <w:r>
              <w:rPr>
                <w:spacing w:val="-11"/>
                <w:sz w:val="18"/>
              </w:rPr>
              <w:t> </w:t>
            </w:r>
            <w:r>
              <w:rPr>
                <w:sz w:val="18"/>
              </w:rPr>
              <w:t>individual </w:t>
            </w:r>
            <w:r>
              <w:rPr>
                <w:spacing w:val="-2"/>
                <w:sz w:val="18"/>
              </w:rPr>
              <w:t>requirements,</w:t>
            </w:r>
            <w:r>
              <w:rPr>
                <w:sz w:val="18"/>
              </w:rPr>
              <w:t> for an </w:t>
            </w:r>
            <w:r>
              <w:rPr>
                <w:spacing w:val="-2"/>
                <w:sz w:val="18"/>
              </w:rPr>
              <w:t>adequate</w:t>
            </w:r>
            <w:r>
              <w:rPr>
                <w:sz w:val="18"/>
              </w:rPr>
              <w:t> period</w:t>
            </w:r>
            <w:r>
              <w:rPr>
                <w:spacing w:val="-11"/>
                <w:sz w:val="18"/>
              </w:rPr>
              <w:t> </w:t>
            </w:r>
            <w:r>
              <w:rPr>
                <w:sz w:val="18"/>
              </w:rPr>
              <w:t>of</w:t>
            </w:r>
            <w:r>
              <w:rPr>
                <w:spacing w:val="-10"/>
                <w:sz w:val="18"/>
              </w:rPr>
              <w:t> </w:t>
            </w:r>
            <w:r>
              <w:rPr>
                <w:sz w:val="18"/>
              </w:rPr>
              <w:t>time, and at the lowest cost to them and</w:t>
            </w:r>
            <w:r>
              <w:rPr>
                <w:spacing w:val="80"/>
                <w:sz w:val="18"/>
              </w:rPr>
              <w:t> </w:t>
            </w:r>
            <w:r>
              <w:rPr>
                <w:spacing w:val="-2"/>
                <w:sz w:val="18"/>
              </w:rPr>
              <w:t>their</w:t>
            </w:r>
          </w:p>
          <w:p>
            <w:pPr>
              <w:pStyle w:val="TableParagraph"/>
              <w:spacing w:line="201" w:lineRule="exact"/>
              <w:ind w:left="103"/>
              <w:rPr>
                <w:sz w:val="18"/>
              </w:rPr>
            </w:pPr>
            <w:r>
              <w:rPr>
                <w:spacing w:val="-2"/>
                <w:sz w:val="18"/>
              </w:rPr>
              <w:t>community</w:t>
            </w:r>
          </w:p>
        </w:tc>
        <w:tc>
          <w:tcPr>
            <w:tcW w:w="1281" w:type="dxa"/>
          </w:tcPr>
          <w:p>
            <w:pPr>
              <w:pStyle w:val="TableParagraph"/>
              <w:ind w:left="103" w:right="113"/>
              <w:rPr>
                <w:sz w:val="18"/>
              </w:rPr>
            </w:pPr>
            <w:r>
              <w:rPr>
                <w:sz w:val="18"/>
              </w:rPr>
              <w:t>(Total</w:t>
            </w:r>
            <w:r>
              <w:rPr>
                <w:spacing w:val="-11"/>
                <w:sz w:val="18"/>
              </w:rPr>
              <w:t> </w:t>
            </w:r>
            <w:r>
              <w:rPr>
                <w:sz w:val="18"/>
              </w:rPr>
              <w:t>number of safe and </w:t>
            </w:r>
            <w:r>
              <w:rPr>
                <w:spacing w:val="-2"/>
                <w:sz w:val="18"/>
              </w:rPr>
              <w:t>rational</w:t>
            </w:r>
            <w:r>
              <w:rPr>
                <w:sz w:val="18"/>
              </w:rPr>
              <w:t> </w:t>
            </w:r>
            <w:r>
              <w:rPr>
                <w:spacing w:val="-2"/>
                <w:sz w:val="18"/>
              </w:rPr>
              <w:t>prescriptions/</w:t>
            </w:r>
            <w:r>
              <w:rPr>
                <w:sz w:val="18"/>
              </w:rPr>
              <w:t> Total</w:t>
            </w:r>
            <w:r>
              <w:rPr>
                <w:spacing w:val="-6"/>
                <w:sz w:val="18"/>
              </w:rPr>
              <w:t> </w:t>
            </w:r>
            <w:r>
              <w:rPr>
                <w:sz w:val="18"/>
              </w:rPr>
              <w:t>number </w:t>
            </w:r>
            <w:r>
              <w:rPr>
                <w:spacing w:val="-6"/>
                <w:sz w:val="18"/>
              </w:rPr>
              <w:t>of</w:t>
            </w:r>
            <w:r>
              <w:rPr>
                <w:sz w:val="18"/>
              </w:rPr>
              <w:t> </w:t>
            </w:r>
            <w:r>
              <w:rPr>
                <w:spacing w:val="-2"/>
                <w:sz w:val="18"/>
              </w:rPr>
              <w:t>prescriptions</w:t>
            </w:r>
            <w:r>
              <w:rPr>
                <w:sz w:val="18"/>
              </w:rPr>
              <w:t> </w:t>
            </w:r>
            <w:r>
              <w:rPr>
                <w:spacing w:val="-2"/>
                <w:sz w:val="18"/>
              </w:rPr>
              <w:t>audited)*100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56"/>
              <w:rPr>
                <w:sz w:val="18"/>
              </w:rPr>
            </w:pPr>
            <w:r>
              <w:rPr>
                <w:sz w:val="18"/>
              </w:rPr>
              <w:t>This includes only prescriptions for out-patients. This indicator shall be captured through the prescription audit. The methodology</w:t>
            </w:r>
            <w:r>
              <w:rPr>
                <w:spacing w:val="-9"/>
                <w:sz w:val="18"/>
              </w:rPr>
              <w:t> </w:t>
            </w:r>
            <w:r>
              <w:rPr>
                <w:sz w:val="18"/>
              </w:rPr>
              <w:t>for</w:t>
            </w:r>
            <w:r>
              <w:rPr>
                <w:spacing w:val="-7"/>
                <w:sz w:val="18"/>
              </w:rPr>
              <w:t> </w:t>
            </w:r>
            <w:r>
              <w:rPr>
                <w:sz w:val="18"/>
              </w:rPr>
              <w:t>audit</w:t>
            </w:r>
            <w:r>
              <w:rPr>
                <w:spacing w:val="-9"/>
                <w:sz w:val="18"/>
              </w:rPr>
              <w:t> </w:t>
            </w:r>
            <w:r>
              <w:rPr>
                <w:sz w:val="18"/>
              </w:rPr>
              <w:t>shall</w:t>
            </w:r>
            <w:r>
              <w:rPr>
                <w:spacing w:val="-10"/>
                <w:sz w:val="18"/>
              </w:rPr>
              <w:t> </w:t>
            </w:r>
            <w:r>
              <w:rPr>
                <w:sz w:val="18"/>
              </w:rPr>
              <w:t>be</w:t>
            </w:r>
            <w:r>
              <w:rPr>
                <w:spacing w:val="-8"/>
                <w:sz w:val="18"/>
              </w:rPr>
              <w:t> </w:t>
            </w:r>
            <w:r>
              <w:rPr>
                <w:sz w:val="18"/>
              </w:rPr>
              <w:t>as stated in NABH’s document on prescription</w:t>
            </w:r>
            <w:r>
              <w:rPr>
                <w:spacing w:val="-2"/>
                <w:sz w:val="18"/>
              </w:rPr>
              <w:t> </w:t>
            </w:r>
            <w:r>
              <w:rPr>
                <w:sz w:val="18"/>
              </w:rPr>
              <w:t>audit.</w:t>
            </w:r>
          </w:p>
          <w:p>
            <w:pPr>
              <w:pStyle w:val="TableParagraph"/>
              <w:spacing w:before="16"/>
              <w:rPr>
                <w:rFonts w:ascii="Franklin Gothic Medium"/>
                <w:sz w:val="18"/>
              </w:rPr>
            </w:pPr>
          </w:p>
          <w:p>
            <w:pPr>
              <w:pStyle w:val="TableParagraph"/>
              <w:spacing w:line="217" w:lineRule="exact" w:before="1"/>
              <w:ind w:left="101"/>
              <w:rPr>
                <w:sz w:val="18"/>
              </w:rPr>
            </w:pPr>
            <w:r>
              <w:rPr>
                <w:sz w:val="18"/>
              </w:rPr>
              <w:t>Sampling:</w:t>
            </w:r>
            <w:r>
              <w:rPr>
                <w:spacing w:val="-2"/>
                <w:sz w:val="18"/>
              </w:rPr>
              <w:t> </w:t>
            </w:r>
            <w:r>
              <w:rPr>
                <w:spacing w:val="-5"/>
                <w:sz w:val="18"/>
              </w:rPr>
              <w:t>Yes</w:t>
            </w:r>
          </w:p>
          <w:p>
            <w:pPr>
              <w:pStyle w:val="TableParagraph"/>
              <w:ind w:left="101"/>
              <w:rPr>
                <w:sz w:val="18"/>
              </w:rPr>
            </w:pPr>
            <w:r>
              <w:rPr>
                <w:sz w:val="18"/>
              </w:rPr>
              <w:t>Sampling</w:t>
            </w:r>
            <w:r>
              <w:rPr>
                <w:spacing w:val="-11"/>
                <w:sz w:val="18"/>
              </w:rPr>
              <w:t> </w:t>
            </w:r>
            <w:r>
              <w:rPr>
                <w:sz w:val="18"/>
              </w:rPr>
              <w:t>methodology:</w:t>
            </w:r>
            <w:r>
              <w:rPr>
                <w:spacing w:val="-10"/>
                <w:sz w:val="18"/>
              </w:rPr>
              <w:t> </w:t>
            </w:r>
            <w:r>
              <w:rPr>
                <w:sz w:val="18"/>
              </w:rPr>
              <w:t>Stratified </w:t>
            </w:r>
            <w:r>
              <w:rPr>
                <w:spacing w:val="-2"/>
                <w:sz w:val="18"/>
              </w:rPr>
              <w:t>random</w:t>
            </w:r>
          </w:p>
        </w:tc>
      </w:tr>
      <w:tr>
        <w:trPr>
          <w:trHeight w:val="1320" w:hRule="atLeast"/>
        </w:trPr>
        <w:tc>
          <w:tcPr>
            <w:tcW w:w="596" w:type="dxa"/>
          </w:tcPr>
          <w:p>
            <w:pPr>
              <w:pStyle w:val="TableParagraph"/>
              <w:rPr>
                <w:rFonts w:ascii="Franklin Gothic Medium"/>
                <w:sz w:val="18"/>
              </w:rPr>
            </w:pPr>
          </w:p>
          <w:p>
            <w:pPr>
              <w:pStyle w:val="TableParagraph"/>
              <w:spacing w:before="140"/>
              <w:rPr>
                <w:rFonts w:ascii="Franklin Gothic Medium"/>
                <w:sz w:val="18"/>
              </w:rPr>
            </w:pPr>
          </w:p>
          <w:p>
            <w:pPr>
              <w:pStyle w:val="TableParagraph"/>
              <w:ind w:left="16"/>
              <w:jc w:val="center"/>
              <w:rPr>
                <w:sz w:val="18"/>
              </w:rPr>
            </w:pPr>
            <w:r>
              <w:rPr>
                <w:spacing w:val="-10"/>
                <w:sz w:val="18"/>
              </w:rPr>
              <w:t>7</w:t>
            </w:r>
          </w:p>
        </w:tc>
        <w:tc>
          <w:tcPr>
            <w:tcW w:w="1001" w:type="dxa"/>
          </w:tcPr>
          <w:p>
            <w:pPr>
              <w:pStyle w:val="TableParagraph"/>
              <w:rPr>
                <w:rFonts w:ascii="Franklin Gothic Medium"/>
                <w:sz w:val="18"/>
              </w:rPr>
            </w:pPr>
          </w:p>
          <w:p>
            <w:pPr>
              <w:pStyle w:val="TableParagraph"/>
              <w:spacing w:before="140"/>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267"/>
              <w:rPr>
                <w:sz w:val="18"/>
              </w:rPr>
            </w:pPr>
            <w:r>
              <w:rPr>
                <w:spacing w:val="-2"/>
                <w:sz w:val="18"/>
              </w:rPr>
              <w:t>Mortality</w:t>
            </w:r>
            <w:r>
              <w:rPr>
                <w:sz w:val="18"/>
              </w:rPr>
              <w:t> </w:t>
            </w:r>
            <w:r>
              <w:rPr>
                <w:spacing w:val="-4"/>
                <w:sz w:val="18"/>
              </w:rPr>
              <w:t>Rate</w:t>
            </w:r>
          </w:p>
        </w:tc>
        <w:tc>
          <w:tcPr>
            <w:tcW w:w="1306" w:type="dxa"/>
          </w:tcPr>
          <w:p>
            <w:pPr>
              <w:pStyle w:val="TableParagraph"/>
              <w:rPr>
                <w:rFonts w:ascii="Times New Roman"/>
                <w:sz w:val="18"/>
              </w:rPr>
            </w:pPr>
          </w:p>
        </w:tc>
        <w:tc>
          <w:tcPr>
            <w:tcW w:w="1281" w:type="dxa"/>
          </w:tcPr>
          <w:p>
            <w:pPr>
              <w:pStyle w:val="TableParagraph"/>
              <w:ind w:left="103" w:right="136"/>
              <w:rPr>
                <w:sz w:val="18"/>
              </w:rPr>
            </w:pPr>
            <w:r>
              <w:rPr>
                <w:sz w:val="18"/>
              </w:rPr>
              <w:t>(Number of </w:t>
            </w:r>
            <w:r>
              <w:rPr>
                <w:spacing w:val="-2"/>
                <w:sz w:val="18"/>
              </w:rPr>
              <w:t>Deaths/Numb</w:t>
            </w:r>
            <w:r>
              <w:rPr>
                <w:sz w:val="18"/>
              </w:rPr>
              <w:t> er of </w:t>
            </w:r>
            <w:r>
              <w:rPr>
                <w:spacing w:val="-2"/>
                <w:sz w:val="18"/>
              </w:rPr>
              <w:t>Discharges</w:t>
            </w:r>
            <w:r>
              <w:rPr>
                <w:spacing w:val="40"/>
                <w:sz w:val="18"/>
              </w:rPr>
              <w:t> </w:t>
            </w:r>
            <w:r>
              <w:rPr>
                <w:spacing w:val="-4"/>
                <w:sz w:val="18"/>
              </w:rPr>
              <w:t>and</w:t>
            </w:r>
          </w:p>
          <w:p>
            <w:pPr>
              <w:pStyle w:val="TableParagraph"/>
              <w:spacing w:line="201" w:lineRule="exact"/>
              <w:ind w:left="103"/>
              <w:rPr>
                <w:sz w:val="18"/>
              </w:rPr>
            </w:pPr>
            <w:r>
              <w:rPr>
                <w:spacing w:val="-2"/>
                <w:sz w:val="18"/>
              </w:rPr>
              <w:t>deaths)*100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rPr>
                <w:rFonts w:ascii="Times New Roman"/>
                <w:sz w:val="18"/>
              </w:rPr>
            </w:pPr>
          </w:p>
        </w:tc>
      </w:tr>
      <w:tr>
        <w:trPr>
          <w:trHeight w:val="5051"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69"/>
              <w:rPr>
                <w:rFonts w:ascii="Franklin Gothic Medium"/>
                <w:sz w:val="18"/>
              </w:rPr>
            </w:pPr>
          </w:p>
          <w:p>
            <w:pPr>
              <w:pStyle w:val="TableParagraph"/>
              <w:ind w:left="16"/>
              <w:jc w:val="center"/>
              <w:rPr>
                <w:sz w:val="18"/>
              </w:rPr>
            </w:pPr>
            <w:r>
              <w:rPr>
                <w:spacing w:val="-10"/>
                <w:sz w:val="18"/>
              </w:rPr>
              <w:t>8</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69"/>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13"/>
              <w:rPr>
                <w:sz w:val="18"/>
              </w:rPr>
            </w:pPr>
            <w:r>
              <w:rPr>
                <w:spacing w:val="-2"/>
                <w:sz w:val="18"/>
              </w:rPr>
              <w:t>Average</w:t>
            </w:r>
            <w:r>
              <w:rPr>
                <w:sz w:val="18"/>
              </w:rPr>
              <w:t> Length</w:t>
            </w:r>
            <w:r>
              <w:rPr>
                <w:spacing w:val="-2"/>
                <w:sz w:val="18"/>
              </w:rPr>
              <w:t> </w:t>
            </w:r>
            <w:r>
              <w:rPr>
                <w:sz w:val="18"/>
              </w:rPr>
              <w:t>of stay</w:t>
            </w:r>
            <w:r>
              <w:rPr>
                <w:spacing w:val="-11"/>
                <w:sz w:val="18"/>
              </w:rPr>
              <w:t> </w:t>
            </w:r>
            <w:r>
              <w:rPr>
                <w:sz w:val="18"/>
              </w:rPr>
              <w:t>(ALOS)</w:t>
            </w:r>
          </w:p>
        </w:tc>
        <w:tc>
          <w:tcPr>
            <w:tcW w:w="1306" w:type="dxa"/>
          </w:tcPr>
          <w:p>
            <w:pPr>
              <w:pStyle w:val="TableParagraph"/>
              <w:ind w:left="103" w:right="105"/>
              <w:rPr>
                <w:sz w:val="18"/>
              </w:rPr>
            </w:pPr>
            <w:r>
              <w:rPr>
                <w:sz w:val="18"/>
              </w:rPr>
              <w:t>Length of stay (LOS)</w:t>
            </w:r>
            <w:r>
              <w:rPr>
                <w:spacing w:val="-10"/>
                <w:sz w:val="18"/>
              </w:rPr>
              <w:t> </w:t>
            </w:r>
            <w:r>
              <w:rPr>
                <w:sz w:val="18"/>
              </w:rPr>
              <w:t>is</w:t>
            </w:r>
            <w:r>
              <w:rPr>
                <w:spacing w:val="-11"/>
                <w:sz w:val="18"/>
              </w:rPr>
              <w:t> </w:t>
            </w:r>
            <w:r>
              <w:rPr>
                <w:sz w:val="18"/>
              </w:rPr>
              <w:t>a</w:t>
            </w:r>
            <w:r>
              <w:rPr>
                <w:spacing w:val="-10"/>
                <w:sz w:val="18"/>
              </w:rPr>
              <w:t> </w:t>
            </w:r>
            <w:r>
              <w:rPr>
                <w:sz w:val="18"/>
              </w:rPr>
              <w:t>term used</w:t>
            </w:r>
            <w:r>
              <w:rPr>
                <w:spacing w:val="-2"/>
                <w:sz w:val="18"/>
              </w:rPr>
              <w:t> </w:t>
            </w:r>
            <w:r>
              <w:rPr>
                <w:sz w:val="18"/>
              </w:rPr>
              <w:t>to measure the duration of a single</w:t>
            </w:r>
            <w:r>
              <w:rPr>
                <w:spacing w:val="-5"/>
                <w:sz w:val="18"/>
              </w:rPr>
              <w:t> </w:t>
            </w:r>
            <w:r>
              <w:rPr>
                <w:sz w:val="18"/>
              </w:rPr>
              <w:t>episode </w:t>
            </w:r>
            <w:r>
              <w:rPr>
                <w:spacing w:val="-6"/>
                <w:sz w:val="18"/>
              </w:rPr>
              <w:t>of</w:t>
            </w:r>
            <w:r>
              <w:rPr>
                <w:sz w:val="18"/>
              </w:rPr>
              <w:t> </w:t>
            </w:r>
            <w:r>
              <w:rPr>
                <w:spacing w:val="-2"/>
                <w:sz w:val="18"/>
              </w:rPr>
              <w:t>hospitalization</w:t>
            </w:r>
          </w:p>
          <w:p>
            <w:pPr>
              <w:pStyle w:val="TableParagraph"/>
              <w:ind w:left="103" w:right="110"/>
              <w:rPr>
                <w:sz w:val="18"/>
              </w:rPr>
            </w:pPr>
            <w:r>
              <w:rPr>
                <w:spacing w:val="-2"/>
                <w:sz w:val="18"/>
              </w:rPr>
              <w:t>.Inpatient</w:t>
            </w:r>
            <w:r>
              <w:rPr>
                <w:spacing w:val="-9"/>
                <w:sz w:val="18"/>
              </w:rPr>
              <w:t> </w:t>
            </w:r>
            <w:r>
              <w:rPr>
                <w:spacing w:val="-2"/>
                <w:sz w:val="18"/>
              </w:rPr>
              <w:t>days</w:t>
            </w:r>
            <w:r>
              <w:rPr>
                <w:sz w:val="18"/>
              </w:rPr>
              <w:t> are calculated by</w:t>
            </w:r>
            <w:r>
              <w:rPr>
                <w:spacing w:val="-4"/>
                <w:sz w:val="18"/>
              </w:rPr>
              <w:t> </w:t>
            </w:r>
            <w:r>
              <w:rPr>
                <w:sz w:val="18"/>
              </w:rPr>
              <w:t>subtracting day</w:t>
            </w:r>
            <w:r>
              <w:rPr>
                <w:spacing w:val="-6"/>
                <w:sz w:val="18"/>
              </w:rPr>
              <w:t> </w:t>
            </w:r>
            <w:r>
              <w:rPr>
                <w:sz w:val="18"/>
              </w:rPr>
              <w:t>of </w:t>
            </w:r>
            <w:r>
              <w:rPr>
                <w:spacing w:val="-2"/>
                <w:sz w:val="18"/>
              </w:rPr>
              <w:t>admission</w:t>
            </w:r>
            <w:r>
              <w:rPr>
                <w:spacing w:val="40"/>
                <w:sz w:val="18"/>
              </w:rPr>
              <w:t> </w:t>
            </w:r>
            <w:r>
              <w:rPr>
                <w:sz w:val="18"/>
              </w:rPr>
              <w:t>from day of </w:t>
            </w:r>
            <w:r>
              <w:rPr>
                <w:spacing w:val="-2"/>
                <w:sz w:val="18"/>
              </w:rPr>
              <w:t>discharge.</w:t>
            </w:r>
          </w:p>
          <w:p>
            <w:pPr>
              <w:pStyle w:val="TableParagraph"/>
              <w:ind w:left="103" w:right="206"/>
              <w:rPr>
                <w:sz w:val="18"/>
              </w:rPr>
            </w:pPr>
            <w:r>
              <w:rPr>
                <w:spacing w:val="-2"/>
                <w:sz w:val="18"/>
              </w:rPr>
              <w:t>However,</w:t>
            </w:r>
            <w:r>
              <w:rPr>
                <w:sz w:val="18"/>
              </w:rPr>
              <w:t> </w:t>
            </w:r>
            <w:r>
              <w:rPr>
                <w:spacing w:val="-2"/>
                <w:sz w:val="18"/>
              </w:rPr>
              <w:t>persons</w:t>
            </w:r>
            <w:r>
              <w:rPr>
                <w:sz w:val="18"/>
              </w:rPr>
              <w:t> entering</w:t>
            </w:r>
            <w:r>
              <w:rPr>
                <w:spacing w:val="-2"/>
                <w:sz w:val="18"/>
              </w:rPr>
              <w:t> </w:t>
            </w:r>
            <w:r>
              <w:rPr>
                <w:sz w:val="18"/>
              </w:rPr>
              <w:t>and leaving</w:t>
            </w:r>
            <w:r>
              <w:rPr>
                <w:spacing w:val="-2"/>
                <w:sz w:val="18"/>
              </w:rPr>
              <w:t> </w:t>
            </w:r>
            <w:r>
              <w:rPr>
                <w:sz w:val="18"/>
              </w:rPr>
              <w:t>a hospital</w:t>
            </w:r>
            <w:r>
              <w:rPr>
                <w:spacing w:val="-6"/>
                <w:sz w:val="18"/>
              </w:rPr>
              <w:t> </w:t>
            </w:r>
            <w:r>
              <w:rPr>
                <w:sz w:val="18"/>
              </w:rPr>
              <w:t>on the</w:t>
            </w:r>
            <w:r>
              <w:rPr>
                <w:spacing w:val="-11"/>
                <w:sz w:val="18"/>
              </w:rPr>
              <w:t> </w:t>
            </w:r>
            <w:r>
              <w:rPr>
                <w:sz w:val="18"/>
              </w:rPr>
              <w:t>same</w:t>
            </w:r>
            <w:r>
              <w:rPr>
                <w:spacing w:val="-10"/>
                <w:sz w:val="18"/>
              </w:rPr>
              <w:t> </w:t>
            </w:r>
            <w:r>
              <w:rPr>
                <w:sz w:val="18"/>
              </w:rPr>
              <w:t>day have</w:t>
            </w:r>
            <w:r>
              <w:rPr>
                <w:spacing w:val="-2"/>
                <w:sz w:val="18"/>
              </w:rPr>
              <w:t> </w:t>
            </w:r>
            <w:r>
              <w:rPr>
                <w:sz w:val="18"/>
              </w:rPr>
              <w:t>a</w:t>
            </w:r>
            <w:r>
              <w:rPr>
                <w:spacing w:val="-4"/>
                <w:sz w:val="18"/>
              </w:rPr>
              <w:t> </w:t>
            </w:r>
            <w:r>
              <w:rPr>
                <w:spacing w:val="-2"/>
                <w:sz w:val="18"/>
              </w:rPr>
              <w:t>length</w:t>
            </w:r>
          </w:p>
          <w:p>
            <w:pPr>
              <w:pStyle w:val="TableParagraph"/>
              <w:spacing w:line="199" w:lineRule="exact"/>
              <w:ind w:left="103"/>
              <w:rPr>
                <w:sz w:val="18"/>
              </w:rPr>
            </w:pPr>
            <w:r>
              <w:rPr>
                <w:sz w:val="18"/>
              </w:rPr>
              <w:t>of</w:t>
            </w:r>
            <w:r>
              <w:rPr>
                <w:spacing w:val="-3"/>
                <w:sz w:val="18"/>
              </w:rPr>
              <w:t> </w:t>
            </w:r>
            <w:r>
              <w:rPr>
                <w:sz w:val="18"/>
              </w:rPr>
              <w:t>stay</w:t>
            </w:r>
            <w:r>
              <w:rPr>
                <w:spacing w:val="-5"/>
                <w:sz w:val="18"/>
              </w:rPr>
              <w:t> </w:t>
            </w:r>
            <w:r>
              <w:rPr>
                <w:sz w:val="18"/>
              </w:rPr>
              <w:t>of</w:t>
            </w:r>
            <w:r>
              <w:rPr>
                <w:spacing w:val="-2"/>
                <w:sz w:val="18"/>
              </w:rPr>
              <w:t> </w:t>
            </w:r>
            <w:r>
              <w:rPr>
                <w:spacing w:val="-5"/>
                <w:sz w:val="18"/>
              </w:rPr>
              <w:t>one</w:t>
            </w:r>
          </w:p>
        </w:tc>
        <w:tc>
          <w:tcPr>
            <w:tcW w:w="1281" w:type="dxa"/>
          </w:tcPr>
          <w:p>
            <w:pPr>
              <w:pStyle w:val="TableParagraph"/>
              <w:ind w:left="103" w:right="135"/>
              <w:rPr>
                <w:sz w:val="18"/>
              </w:rPr>
            </w:pPr>
            <w:r>
              <w:rPr>
                <w:sz w:val="18"/>
              </w:rPr>
              <w:t>Number of </w:t>
            </w:r>
            <w:r>
              <w:rPr>
                <w:spacing w:val="-2"/>
                <w:sz w:val="18"/>
              </w:rPr>
              <w:t>inpatient</w:t>
            </w:r>
            <w:r>
              <w:rPr>
                <w:spacing w:val="-9"/>
                <w:sz w:val="18"/>
              </w:rPr>
              <w:t> </w:t>
            </w:r>
            <w:r>
              <w:rPr>
                <w:spacing w:val="-2"/>
                <w:sz w:val="18"/>
              </w:rPr>
              <w:t>days</w:t>
            </w:r>
            <w:r>
              <w:rPr>
                <w:sz w:val="18"/>
              </w:rPr>
              <w:t> in a given </w:t>
            </w:r>
            <w:r>
              <w:rPr>
                <w:spacing w:val="-2"/>
                <w:sz w:val="18"/>
              </w:rPr>
              <w:t>month/Numb</w:t>
            </w:r>
            <w:r>
              <w:rPr>
                <w:sz w:val="18"/>
              </w:rPr>
              <w:t> er of </w:t>
            </w:r>
            <w:r>
              <w:rPr>
                <w:spacing w:val="-2"/>
                <w:sz w:val="18"/>
              </w:rPr>
              <w:t>discharges</w:t>
            </w:r>
            <w:r>
              <w:rPr>
                <w:spacing w:val="40"/>
                <w:sz w:val="18"/>
              </w:rPr>
              <w:t> </w:t>
            </w:r>
            <w:r>
              <w:rPr>
                <w:sz w:val="18"/>
              </w:rPr>
              <w:t>and deaths in that</w:t>
            </w:r>
            <w:r>
              <w:rPr>
                <w:spacing w:val="-2"/>
                <w:sz w:val="18"/>
              </w:rPr>
              <w:t> </w:t>
            </w:r>
            <w:r>
              <w:rPr>
                <w:sz w:val="18"/>
              </w:rPr>
              <w:t>month</w:t>
            </w:r>
          </w:p>
        </w:tc>
        <w:tc>
          <w:tcPr>
            <w:tcW w:w="901" w:type="dxa"/>
          </w:tcPr>
          <w:p>
            <w:pPr>
              <w:pStyle w:val="TableParagraph"/>
              <w:spacing w:line="213" w:lineRule="exact"/>
              <w:ind w:left="107"/>
              <w:rPr>
                <w:sz w:val="18"/>
              </w:rPr>
            </w:pPr>
            <w:r>
              <w:rPr>
                <w:spacing w:val="-4"/>
                <w:sz w:val="18"/>
              </w:rPr>
              <w:t>Days</w:t>
            </w:r>
          </w:p>
        </w:tc>
        <w:tc>
          <w:tcPr>
            <w:tcW w:w="1366" w:type="dxa"/>
          </w:tcPr>
          <w:p>
            <w:pPr>
              <w:pStyle w:val="TableParagraph"/>
              <w:spacing w:line="213" w:lineRule="exact"/>
              <w:ind w:left="101"/>
              <w:rPr>
                <w:sz w:val="18"/>
              </w:rPr>
            </w:pPr>
            <w:r>
              <w:rPr>
                <w:spacing w:val="-2"/>
                <w:sz w:val="18"/>
              </w:rPr>
              <w:t>Monthly</w:t>
            </w:r>
          </w:p>
        </w:tc>
        <w:tc>
          <w:tcPr>
            <w:tcW w:w="2732" w:type="dxa"/>
          </w:tcPr>
          <w:p>
            <w:pPr>
              <w:pStyle w:val="TableParagraph"/>
              <w:ind w:left="101" w:right="102"/>
              <w:rPr>
                <w:sz w:val="18"/>
              </w:rPr>
            </w:pPr>
            <w:r>
              <w:rPr>
                <w:sz w:val="18"/>
              </w:rPr>
              <w:t>Number of inpatient days-It is a sum of daily inpatient census. While calculating the overall length of stay and available number of inpatient beds, emergency,</w:t>
            </w:r>
            <w:r>
              <w:rPr>
                <w:spacing w:val="-11"/>
                <w:sz w:val="18"/>
              </w:rPr>
              <w:t> </w:t>
            </w:r>
            <w:r>
              <w:rPr>
                <w:sz w:val="18"/>
              </w:rPr>
              <w:t>rehabilitation</w:t>
            </w:r>
            <w:r>
              <w:rPr>
                <w:spacing w:val="-10"/>
                <w:sz w:val="18"/>
              </w:rPr>
              <w:t> </w:t>
            </w:r>
            <w:r>
              <w:rPr>
                <w:sz w:val="18"/>
              </w:rPr>
              <w:t>and</w:t>
            </w:r>
            <w:r>
              <w:rPr>
                <w:spacing w:val="-10"/>
                <w:sz w:val="18"/>
              </w:rPr>
              <w:t> </w:t>
            </w:r>
            <w:r>
              <w:rPr>
                <w:sz w:val="18"/>
              </w:rPr>
              <w:t>day care beds should not be </w:t>
            </w:r>
            <w:r>
              <w:rPr>
                <w:spacing w:val="-2"/>
                <w:sz w:val="18"/>
              </w:rPr>
              <w:t>considered.</w:t>
            </w:r>
          </w:p>
        </w:tc>
      </w:tr>
      <w:tr>
        <w:trPr>
          <w:trHeight w:val="3191"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5"/>
              <w:rPr>
                <w:rFonts w:ascii="Franklin Gothic Medium"/>
                <w:sz w:val="18"/>
              </w:rPr>
            </w:pPr>
          </w:p>
          <w:p>
            <w:pPr>
              <w:pStyle w:val="TableParagraph"/>
              <w:ind w:left="16"/>
              <w:jc w:val="center"/>
              <w:rPr>
                <w:sz w:val="18"/>
              </w:rPr>
            </w:pPr>
            <w:r>
              <w:rPr>
                <w:spacing w:val="-10"/>
                <w:sz w:val="18"/>
              </w:rPr>
              <w:t>9</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5"/>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13"/>
              <w:rPr>
                <w:sz w:val="18"/>
              </w:rPr>
            </w:pPr>
            <w:r>
              <w:rPr>
                <w:spacing w:val="-2"/>
                <w:sz w:val="18"/>
              </w:rPr>
              <w:t>Percentage</w:t>
            </w:r>
            <w:r>
              <w:rPr>
                <w:sz w:val="18"/>
              </w:rPr>
              <w:t> of</w:t>
            </w:r>
            <w:r>
              <w:rPr>
                <w:spacing w:val="-2"/>
                <w:sz w:val="18"/>
              </w:rPr>
              <w:t> </w:t>
            </w:r>
            <w:r>
              <w:rPr>
                <w:sz w:val="18"/>
              </w:rPr>
              <w:t>medical </w:t>
            </w:r>
            <w:r>
              <w:rPr>
                <w:spacing w:val="-2"/>
                <w:sz w:val="18"/>
              </w:rPr>
              <w:t>records</w:t>
            </w:r>
            <w:r>
              <w:rPr>
                <w:sz w:val="18"/>
              </w:rPr>
              <w:t> </w:t>
            </w:r>
            <w:r>
              <w:rPr>
                <w:spacing w:val="-2"/>
                <w:sz w:val="18"/>
              </w:rPr>
              <w:t>having</w:t>
            </w:r>
            <w:r>
              <w:rPr>
                <w:sz w:val="18"/>
              </w:rPr>
              <w:t> </w:t>
            </w:r>
            <w:r>
              <w:rPr>
                <w:spacing w:val="-2"/>
                <w:sz w:val="18"/>
              </w:rPr>
              <w:t>incomplete</w:t>
            </w:r>
            <w:r>
              <w:rPr>
                <w:sz w:val="18"/>
              </w:rPr>
              <w:t> </w:t>
            </w:r>
            <w:r>
              <w:rPr>
                <w:spacing w:val="-2"/>
                <w:sz w:val="18"/>
              </w:rPr>
              <w:t>and/or</w:t>
            </w:r>
            <w:r>
              <w:rPr>
                <w:sz w:val="18"/>
              </w:rPr>
              <w:t> </w:t>
            </w:r>
            <w:r>
              <w:rPr>
                <w:spacing w:val="-2"/>
                <w:sz w:val="18"/>
              </w:rPr>
              <w:t>improper</w:t>
            </w:r>
            <w:r>
              <w:rPr>
                <w:sz w:val="18"/>
              </w:rPr>
              <w:t> </w:t>
            </w:r>
            <w:r>
              <w:rPr>
                <w:spacing w:val="-2"/>
                <w:sz w:val="18"/>
              </w:rPr>
              <w:t>consent</w:t>
            </w:r>
          </w:p>
        </w:tc>
        <w:tc>
          <w:tcPr>
            <w:tcW w:w="1306" w:type="dxa"/>
          </w:tcPr>
          <w:p>
            <w:pPr>
              <w:pStyle w:val="TableParagraph"/>
              <w:ind w:left="103" w:right="93"/>
              <w:rPr>
                <w:sz w:val="18"/>
              </w:rPr>
            </w:pPr>
            <w:r>
              <w:rPr>
                <w:spacing w:val="-2"/>
                <w:sz w:val="18"/>
              </w:rPr>
              <w:t>Informed</w:t>
            </w:r>
            <w:r>
              <w:rPr>
                <w:sz w:val="18"/>
              </w:rPr>
              <w:t> consent is a type</w:t>
            </w:r>
            <w:r>
              <w:rPr>
                <w:spacing w:val="40"/>
                <w:sz w:val="18"/>
              </w:rPr>
              <w:t> </w:t>
            </w:r>
            <w:r>
              <w:rPr>
                <w:sz w:val="18"/>
              </w:rPr>
              <w:t>of consent in which</w:t>
            </w:r>
            <w:r>
              <w:rPr>
                <w:spacing w:val="-2"/>
                <w:sz w:val="18"/>
              </w:rPr>
              <w:t> </w:t>
            </w:r>
            <w:r>
              <w:rPr>
                <w:sz w:val="18"/>
              </w:rPr>
              <w:t>the health</w:t>
            </w:r>
            <w:r>
              <w:rPr>
                <w:spacing w:val="-2"/>
                <w:sz w:val="18"/>
              </w:rPr>
              <w:t> </w:t>
            </w:r>
            <w:r>
              <w:rPr>
                <w:sz w:val="18"/>
              </w:rPr>
              <w:t>care provider has a duty</w:t>
            </w:r>
            <w:r>
              <w:rPr>
                <w:spacing w:val="-5"/>
                <w:sz w:val="18"/>
              </w:rPr>
              <w:t> </w:t>
            </w:r>
            <w:r>
              <w:rPr>
                <w:sz w:val="18"/>
              </w:rPr>
              <w:t>to</w:t>
            </w:r>
            <w:r>
              <w:rPr>
                <w:spacing w:val="-3"/>
                <w:sz w:val="18"/>
              </w:rPr>
              <w:t> </w:t>
            </w:r>
            <w:r>
              <w:rPr>
                <w:sz w:val="18"/>
              </w:rPr>
              <w:t>inform his/her</w:t>
            </w:r>
            <w:r>
              <w:rPr>
                <w:spacing w:val="-11"/>
                <w:sz w:val="18"/>
              </w:rPr>
              <w:t> </w:t>
            </w:r>
            <w:r>
              <w:rPr>
                <w:sz w:val="18"/>
              </w:rPr>
              <w:t>patient about the procedure, its potential</w:t>
            </w:r>
            <w:r>
              <w:rPr>
                <w:spacing w:val="-6"/>
                <w:sz w:val="18"/>
              </w:rPr>
              <w:t> </w:t>
            </w:r>
            <w:r>
              <w:rPr>
                <w:sz w:val="18"/>
              </w:rPr>
              <w:t>risk and benefits, </w:t>
            </w:r>
            <w:r>
              <w:rPr>
                <w:spacing w:val="-2"/>
                <w:sz w:val="18"/>
              </w:rPr>
              <w:t>alternative</w:t>
            </w:r>
          </w:p>
        </w:tc>
        <w:tc>
          <w:tcPr>
            <w:tcW w:w="1281" w:type="dxa"/>
          </w:tcPr>
          <w:p>
            <w:pPr>
              <w:pStyle w:val="TableParagraph"/>
              <w:ind w:left="103" w:right="142"/>
              <w:rPr>
                <w:sz w:val="18"/>
              </w:rPr>
            </w:pPr>
            <w:r>
              <w:rPr>
                <w:sz w:val="18"/>
              </w:rPr>
              <w:t>(Number of </w:t>
            </w:r>
            <w:r>
              <w:rPr>
                <w:spacing w:val="-2"/>
                <w:sz w:val="18"/>
              </w:rPr>
              <w:t>medical</w:t>
            </w:r>
            <w:r>
              <w:rPr>
                <w:sz w:val="18"/>
              </w:rPr>
              <w:t> </w:t>
            </w:r>
            <w:r>
              <w:rPr>
                <w:spacing w:val="-2"/>
                <w:sz w:val="18"/>
              </w:rPr>
              <w:t>records</w:t>
            </w:r>
            <w:r>
              <w:rPr>
                <w:spacing w:val="40"/>
                <w:sz w:val="18"/>
              </w:rPr>
              <w:t> </w:t>
            </w:r>
            <w:r>
              <w:rPr>
                <w:spacing w:val="-2"/>
                <w:sz w:val="18"/>
              </w:rPr>
              <w:t>having</w:t>
            </w:r>
            <w:r>
              <w:rPr>
                <w:sz w:val="18"/>
              </w:rPr>
              <w:t> incomplete</w:t>
            </w:r>
            <w:r>
              <w:rPr>
                <w:spacing w:val="-11"/>
                <w:sz w:val="18"/>
              </w:rPr>
              <w:t> </w:t>
            </w:r>
            <w:r>
              <w:rPr>
                <w:sz w:val="18"/>
              </w:rPr>
              <w:t>or </w:t>
            </w:r>
            <w:r>
              <w:rPr>
                <w:spacing w:val="-2"/>
                <w:sz w:val="18"/>
              </w:rPr>
              <w:t>improper</w:t>
            </w:r>
            <w:r>
              <w:rPr>
                <w:sz w:val="18"/>
              </w:rPr>
              <w:t> </w:t>
            </w:r>
            <w:r>
              <w:rPr>
                <w:spacing w:val="-2"/>
                <w:sz w:val="18"/>
              </w:rPr>
              <w:t>consent/Num</w:t>
            </w:r>
            <w:r>
              <w:rPr>
                <w:sz w:val="18"/>
              </w:rPr>
              <w:t> ber of </w:t>
            </w:r>
            <w:r>
              <w:rPr>
                <w:spacing w:val="-2"/>
                <w:sz w:val="18"/>
              </w:rPr>
              <w:t>discharges</w:t>
            </w:r>
            <w:r>
              <w:rPr>
                <w:spacing w:val="40"/>
                <w:sz w:val="18"/>
              </w:rPr>
              <w:t> </w:t>
            </w:r>
            <w:r>
              <w:rPr>
                <w:spacing w:val="-4"/>
                <w:sz w:val="18"/>
              </w:rPr>
              <w:t>and</w:t>
            </w:r>
            <w:r>
              <w:rPr>
                <w:sz w:val="18"/>
              </w:rPr>
              <w:t> </w:t>
            </w:r>
            <w:r>
              <w:rPr>
                <w:spacing w:val="-2"/>
                <w:sz w:val="18"/>
              </w:rPr>
              <w:t>deaths)*100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56"/>
              <w:rPr>
                <w:sz w:val="18"/>
              </w:rPr>
            </w:pPr>
            <w:r>
              <w:rPr>
                <w:sz w:val="18"/>
              </w:rPr>
              <w:t>If any of the essential elements/requirements</w:t>
            </w:r>
            <w:r>
              <w:rPr>
                <w:spacing w:val="-4"/>
                <w:sz w:val="18"/>
              </w:rPr>
              <w:t> </w:t>
            </w:r>
            <w:r>
              <w:rPr>
                <w:sz w:val="18"/>
              </w:rPr>
              <w:t>of consent</w:t>
            </w:r>
            <w:r>
              <w:rPr>
                <w:spacing w:val="-10"/>
                <w:sz w:val="18"/>
              </w:rPr>
              <w:t> </w:t>
            </w:r>
            <w:r>
              <w:rPr>
                <w:sz w:val="18"/>
              </w:rPr>
              <w:t>is</w:t>
            </w:r>
            <w:r>
              <w:rPr>
                <w:spacing w:val="-10"/>
                <w:sz w:val="18"/>
              </w:rPr>
              <w:t> </w:t>
            </w:r>
            <w:r>
              <w:rPr>
                <w:sz w:val="18"/>
              </w:rPr>
              <w:t>missing,</w:t>
            </w:r>
            <w:r>
              <w:rPr>
                <w:spacing w:val="-10"/>
                <w:sz w:val="18"/>
              </w:rPr>
              <w:t> </w:t>
            </w:r>
            <w:r>
              <w:rPr>
                <w:sz w:val="18"/>
              </w:rPr>
              <w:t>it</w:t>
            </w:r>
            <w:r>
              <w:rPr>
                <w:spacing w:val="-7"/>
                <w:sz w:val="18"/>
              </w:rPr>
              <w:t> </w:t>
            </w:r>
            <w:r>
              <w:rPr>
                <w:sz w:val="18"/>
              </w:rPr>
              <w:t>shall</w:t>
            </w:r>
            <w:r>
              <w:rPr>
                <w:spacing w:val="-11"/>
                <w:sz w:val="18"/>
              </w:rPr>
              <w:t> </w:t>
            </w:r>
            <w:r>
              <w:rPr>
                <w:sz w:val="18"/>
              </w:rPr>
              <w:t>be considered</w:t>
            </w:r>
            <w:r>
              <w:rPr>
                <w:spacing w:val="-2"/>
                <w:sz w:val="18"/>
              </w:rPr>
              <w:t> </w:t>
            </w:r>
            <w:r>
              <w:rPr>
                <w:sz w:val="18"/>
              </w:rPr>
              <w:t>incomplete.</w:t>
            </w:r>
          </w:p>
          <w:p>
            <w:pPr>
              <w:pStyle w:val="TableParagraph"/>
              <w:spacing w:before="16"/>
              <w:rPr>
                <w:rFonts w:ascii="Franklin Gothic Medium"/>
                <w:sz w:val="18"/>
              </w:rPr>
            </w:pPr>
          </w:p>
          <w:p>
            <w:pPr>
              <w:pStyle w:val="TableParagraph"/>
              <w:ind w:left="101" w:right="123"/>
              <w:rPr>
                <w:sz w:val="18"/>
              </w:rPr>
            </w:pPr>
            <w:r>
              <w:rPr>
                <w:sz w:val="18"/>
              </w:rPr>
              <w:t>If any consent obtained is invalid/void (consent obtained from</w:t>
            </w:r>
            <w:r>
              <w:rPr>
                <w:spacing w:val="-11"/>
                <w:sz w:val="18"/>
              </w:rPr>
              <w:t> </w:t>
            </w:r>
            <w:r>
              <w:rPr>
                <w:sz w:val="18"/>
              </w:rPr>
              <w:t>the</w:t>
            </w:r>
            <w:r>
              <w:rPr>
                <w:spacing w:val="-10"/>
                <w:sz w:val="18"/>
              </w:rPr>
              <w:t> </w:t>
            </w:r>
            <w:r>
              <w:rPr>
                <w:sz w:val="18"/>
              </w:rPr>
              <w:t>wrong</w:t>
            </w:r>
            <w:r>
              <w:rPr>
                <w:spacing w:val="-10"/>
                <w:sz w:val="18"/>
              </w:rPr>
              <w:t> </w:t>
            </w:r>
            <w:r>
              <w:rPr>
                <w:sz w:val="18"/>
              </w:rPr>
              <w:t>person/consent obtained by the wrong person, etc.), it is considered improper.</w:t>
            </w:r>
          </w:p>
          <w:p>
            <w:pPr>
              <w:pStyle w:val="TableParagraph"/>
              <w:spacing w:before="17"/>
              <w:rPr>
                <w:rFonts w:ascii="Franklin Gothic Medium"/>
                <w:sz w:val="18"/>
              </w:rPr>
            </w:pPr>
          </w:p>
          <w:p>
            <w:pPr>
              <w:pStyle w:val="TableParagraph"/>
              <w:spacing w:before="1"/>
              <w:ind w:left="101"/>
              <w:rPr>
                <w:sz w:val="18"/>
              </w:rPr>
            </w:pPr>
            <w:r>
              <w:rPr>
                <w:sz w:val="18"/>
              </w:rPr>
              <w:t>Sampling:</w:t>
            </w:r>
            <w:r>
              <w:rPr>
                <w:spacing w:val="-2"/>
                <w:sz w:val="18"/>
              </w:rPr>
              <w:t> </w:t>
            </w:r>
            <w:r>
              <w:rPr>
                <w:spacing w:val="-5"/>
                <w:sz w:val="18"/>
              </w:rPr>
              <w:t>No</w:t>
            </w:r>
          </w:p>
        </w:tc>
      </w:tr>
    </w:tbl>
    <w:p>
      <w:pPr>
        <w:pStyle w:val="TableParagraph"/>
        <w:spacing w:after="0"/>
        <w:rPr>
          <w:sz w:val="18"/>
        </w:rPr>
        <w:sectPr>
          <w:type w:val="continuous"/>
          <w:pgSz w:w="10800" w:h="15600"/>
          <w:pgMar w:header="232" w:footer="0" w:top="1040" w:bottom="0" w:left="360" w:right="0"/>
        </w:sect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3191" w:hRule="atLeast"/>
        </w:trPr>
        <w:tc>
          <w:tcPr>
            <w:tcW w:w="596" w:type="dxa"/>
          </w:tcPr>
          <w:p>
            <w:pPr>
              <w:pStyle w:val="TableParagraph"/>
              <w:rPr>
                <w:rFonts w:ascii="Times New Roman"/>
                <w:sz w:val="18"/>
              </w:rPr>
            </w:pPr>
          </w:p>
        </w:tc>
        <w:tc>
          <w:tcPr>
            <w:tcW w:w="1001" w:type="dxa"/>
          </w:tcPr>
          <w:p>
            <w:pPr>
              <w:pStyle w:val="TableParagraph"/>
              <w:rPr>
                <w:rFonts w:ascii="Times New Roman"/>
                <w:sz w:val="18"/>
              </w:rPr>
            </w:pPr>
          </w:p>
        </w:tc>
        <w:tc>
          <w:tcPr>
            <w:tcW w:w="1066" w:type="dxa"/>
          </w:tcPr>
          <w:p>
            <w:pPr>
              <w:pStyle w:val="TableParagraph"/>
              <w:rPr>
                <w:rFonts w:ascii="Times New Roman"/>
                <w:sz w:val="18"/>
              </w:rPr>
            </w:pPr>
          </w:p>
        </w:tc>
        <w:tc>
          <w:tcPr>
            <w:tcW w:w="1306" w:type="dxa"/>
          </w:tcPr>
          <w:p>
            <w:pPr>
              <w:pStyle w:val="TableParagraph"/>
              <w:ind w:left="103" w:right="154"/>
              <w:rPr>
                <w:sz w:val="18"/>
              </w:rPr>
            </w:pPr>
            <w:r>
              <w:rPr>
                <w:spacing w:val="-2"/>
                <w:sz w:val="18"/>
              </w:rPr>
              <w:t>procedures</w:t>
            </w:r>
            <w:r>
              <w:rPr>
                <w:sz w:val="18"/>
              </w:rPr>
              <w:t> with</w:t>
            </w:r>
            <w:r>
              <w:rPr>
                <w:spacing w:val="-11"/>
                <w:sz w:val="18"/>
              </w:rPr>
              <w:t> </w:t>
            </w:r>
            <w:r>
              <w:rPr>
                <w:sz w:val="18"/>
              </w:rPr>
              <w:t>their</w:t>
            </w:r>
            <w:r>
              <w:rPr>
                <w:spacing w:val="-9"/>
                <w:sz w:val="18"/>
              </w:rPr>
              <w:t> </w:t>
            </w:r>
            <w:r>
              <w:rPr>
                <w:sz w:val="18"/>
              </w:rPr>
              <w:t>risk and benefits so as to enable the patient</w:t>
            </w:r>
            <w:r>
              <w:rPr>
                <w:spacing w:val="-2"/>
                <w:sz w:val="18"/>
              </w:rPr>
              <w:t> </w:t>
            </w:r>
            <w:r>
              <w:rPr>
                <w:sz w:val="18"/>
              </w:rPr>
              <w:t>to make an </w:t>
            </w:r>
            <w:r>
              <w:rPr>
                <w:spacing w:val="-2"/>
                <w:sz w:val="18"/>
              </w:rPr>
              <w:t>informed</w:t>
            </w:r>
            <w:r>
              <w:rPr>
                <w:sz w:val="18"/>
              </w:rPr>
              <w:t> decision</w:t>
            </w:r>
            <w:r>
              <w:rPr>
                <w:spacing w:val="-2"/>
                <w:sz w:val="18"/>
              </w:rPr>
              <w:t> </w:t>
            </w:r>
            <w:r>
              <w:rPr>
                <w:sz w:val="18"/>
              </w:rPr>
              <w:t>of his/her</w:t>
            </w:r>
            <w:r>
              <w:rPr>
                <w:spacing w:val="-11"/>
                <w:sz w:val="18"/>
              </w:rPr>
              <w:t> </w:t>
            </w:r>
            <w:r>
              <w:rPr>
                <w:sz w:val="18"/>
              </w:rPr>
              <w:t>health </w:t>
            </w:r>
            <w:r>
              <w:rPr>
                <w:spacing w:val="-4"/>
                <w:sz w:val="18"/>
              </w:rPr>
              <w:t>care</w:t>
            </w:r>
          </w:p>
        </w:tc>
        <w:tc>
          <w:tcPr>
            <w:tcW w:w="1281" w:type="dxa"/>
          </w:tcPr>
          <w:p>
            <w:pPr>
              <w:pStyle w:val="TableParagraph"/>
              <w:rPr>
                <w:rFonts w:ascii="Times New Roman"/>
                <w:sz w:val="18"/>
              </w:rPr>
            </w:pPr>
          </w:p>
        </w:tc>
        <w:tc>
          <w:tcPr>
            <w:tcW w:w="901" w:type="dxa"/>
          </w:tcPr>
          <w:p>
            <w:pPr>
              <w:pStyle w:val="TableParagraph"/>
              <w:rPr>
                <w:rFonts w:ascii="Times New Roman"/>
                <w:sz w:val="18"/>
              </w:rPr>
            </w:pPr>
          </w:p>
        </w:tc>
        <w:tc>
          <w:tcPr>
            <w:tcW w:w="1366" w:type="dxa"/>
          </w:tcPr>
          <w:p>
            <w:pPr>
              <w:pStyle w:val="TableParagraph"/>
              <w:rPr>
                <w:rFonts w:ascii="Times New Roman"/>
                <w:sz w:val="18"/>
              </w:rPr>
            </w:pPr>
          </w:p>
        </w:tc>
        <w:tc>
          <w:tcPr>
            <w:tcW w:w="2732" w:type="dxa"/>
          </w:tcPr>
          <w:p>
            <w:pPr>
              <w:pStyle w:val="TableParagraph"/>
              <w:rPr>
                <w:rFonts w:ascii="Times New Roman"/>
                <w:sz w:val="18"/>
              </w:rPr>
            </w:pPr>
          </w:p>
        </w:tc>
      </w:tr>
      <w:tr>
        <w:trPr>
          <w:trHeight w:val="3190"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5"/>
              <w:rPr>
                <w:rFonts w:ascii="Franklin Gothic Medium"/>
                <w:sz w:val="18"/>
              </w:rPr>
            </w:pPr>
          </w:p>
          <w:p>
            <w:pPr>
              <w:pStyle w:val="TableParagraph"/>
              <w:ind w:left="16" w:right="1"/>
              <w:jc w:val="center"/>
              <w:rPr>
                <w:sz w:val="18"/>
              </w:rPr>
            </w:pPr>
            <w:r>
              <w:rPr>
                <w:spacing w:val="-5"/>
                <w:sz w:val="18"/>
              </w:rPr>
              <w:t>10</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5"/>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27"/>
              <w:rPr>
                <w:sz w:val="18"/>
              </w:rPr>
            </w:pPr>
            <w:r>
              <w:rPr>
                <w:sz w:val="18"/>
              </w:rPr>
              <w:t>Time</w:t>
            </w:r>
            <w:r>
              <w:rPr>
                <w:spacing w:val="-11"/>
                <w:sz w:val="18"/>
              </w:rPr>
              <w:t> </w:t>
            </w:r>
            <w:r>
              <w:rPr>
                <w:sz w:val="18"/>
              </w:rPr>
              <w:t>taken </w:t>
            </w:r>
            <w:r>
              <w:rPr>
                <w:spacing w:val="-4"/>
                <w:sz w:val="18"/>
              </w:rPr>
              <w:t>for</w:t>
            </w:r>
            <w:r>
              <w:rPr>
                <w:sz w:val="18"/>
              </w:rPr>
              <w:t> </w:t>
            </w:r>
            <w:r>
              <w:rPr>
                <w:spacing w:val="-2"/>
                <w:sz w:val="18"/>
              </w:rPr>
              <w:t>discharge</w:t>
            </w:r>
          </w:p>
        </w:tc>
        <w:tc>
          <w:tcPr>
            <w:tcW w:w="1306" w:type="dxa"/>
          </w:tcPr>
          <w:p>
            <w:pPr>
              <w:pStyle w:val="TableParagraph"/>
              <w:ind w:left="103" w:right="116"/>
              <w:rPr>
                <w:sz w:val="18"/>
              </w:rPr>
            </w:pPr>
            <w:r>
              <w:rPr>
                <w:sz w:val="18"/>
              </w:rPr>
              <w:t>The discharge process</w:t>
            </w:r>
            <w:r>
              <w:rPr>
                <w:spacing w:val="-4"/>
                <w:sz w:val="18"/>
              </w:rPr>
              <w:t> </w:t>
            </w:r>
            <w:r>
              <w:rPr>
                <w:sz w:val="18"/>
              </w:rPr>
              <w:t>is deemed</w:t>
            </w:r>
            <w:r>
              <w:rPr>
                <w:spacing w:val="-2"/>
                <w:sz w:val="18"/>
              </w:rPr>
              <w:t> </w:t>
            </w:r>
            <w:r>
              <w:rPr>
                <w:sz w:val="18"/>
              </w:rPr>
              <w:t>to have started when</w:t>
            </w:r>
            <w:r>
              <w:rPr>
                <w:spacing w:val="-2"/>
                <w:sz w:val="18"/>
              </w:rPr>
              <w:t> </w:t>
            </w:r>
            <w:r>
              <w:rPr>
                <w:sz w:val="18"/>
              </w:rPr>
              <w:t>the </w:t>
            </w:r>
            <w:r>
              <w:rPr>
                <w:spacing w:val="-2"/>
                <w:sz w:val="18"/>
              </w:rPr>
              <w:t>consultant</w:t>
            </w:r>
            <w:r>
              <w:rPr>
                <w:sz w:val="18"/>
              </w:rPr>
              <w:t> </w:t>
            </w:r>
            <w:r>
              <w:rPr>
                <w:spacing w:val="-2"/>
                <w:sz w:val="18"/>
              </w:rPr>
              <w:t>formally</w:t>
            </w:r>
            <w:r>
              <w:rPr>
                <w:sz w:val="18"/>
              </w:rPr>
              <w:t> </w:t>
            </w:r>
            <w:r>
              <w:rPr>
                <w:spacing w:val="-2"/>
                <w:sz w:val="18"/>
              </w:rPr>
              <w:t>approves</w:t>
            </w:r>
            <w:r>
              <w:rPr>
                <w:sz w:val="18"/>
              </w:rPr>
              <w:t> discharge</w:t>
            </w:r>
            <w:r>
              <w:rPr>
                <w:spacing w:val="-2"/>
                <w:sz w:val="18"/>
              </w:rPr>
              <w:t> </w:t>
            </w:r>
            <w:r>
              <w:rPr>
                <w:sz w:val="18"/>
              </w:rPr>
              <w:t>and ends with the </w:t>
            </w:r>
            <w:r>
              <w:rPr>
                <w:spacing w:val="-2"/>
                <w:sz w:val="18"/>
              </w:rPr>
              <w:t>patient</w:t>
            </w:r>
            <w:r>
              <w:rPr>
                <w:spacing w:val="-9"/>
                <w:sz w:val="18"/>
              </w:rPr>
              <w:t> </w:t>
            </w:r>
            <w:r>
              <w:rPr>
                <w:spacing w:val="-2"/>
                <w:sz w:val="18"/>
              </w:rPr>
              <w:t>leaving</w:t>
            </w:r>
            <w:r>
              <w:rPr>
                <w:sz w:val="18"/>
              </w:rPr>
              <w:t> the</w:t>
            </w:r>
            <w:r>
              <w:rPr>
                <w:spacing w:val="-2"/>
                <w:sz w:val="18"/>
              </w:rPr>
              <w:t> </w:t>
            </w:r>
            <w:r>
              <w:rPr>
                <w:sz w:val="18"/>
              </w:rPr>
              <w:t>clinical</w:t>
            </w:r>
            <w:r>
              <w:rPr>
                <w:spacing w:val="40"/>
                <w:sz w:val="18"/>
              </w:rPr>
              <w:t> </w:t>
            </w:r>
            <w:r>
              <w:rPr>
                <w:spacing w:val="-4"/>
                <w:sz w:val="18"/>
              </w:rPr>
              <w:t>unit</w:t>
            </w:r>
          </w:p>
        </w:tc>
        <w:tc>
          <w:tcPr>
            <w:tcW w:w="1281" w:type="dxa"/>
          </w:tcPr>
          <w:p>
            <w:pPr>
              <w:pStyle w:val="TableParagraph"/>
              <w:ind w:left="103" w:right="227"/>
              <w:rPr>
                <w:sz w:val="18"/>
              </w:rPr>
            </w:pPr>
            <w:r>
              <w:rPr>
                <w:sz w:val="18"/>
              </w:rPr>
              <w:t>Sum of time taken</w:t>
            </w:r>
            <w:r>
              <w:rPr>
                <w:spacing w:val="-2"/>
                <w:sz w:val="18"/>
              </w:rPr>
              <w:t> </w:t>
            </w:r>
            <w:r>
              <w:rPr>
                <w:sz w:val="18"/>
              </w:rPr>
              <w:t>for discharge</w:t>
            </w:r>
            <w:r>
              <w:rPr>
                <w:spacing w:val="-11"/>
                <w:sz w:val="18"/>
              </w:rPr>
              <w:t> </w:t>
            </w:r>
            <w:r>
              <w:rPr>
                <w:sz w:val="18"/>
              </w:rPr>
              <w:t>(in </w:t>
            </w:r>
            <w:r>
              <w:rPr>
                <w:spacing w:val="-2"/>
                <w:sz w:val="18"/>
              </w:rPr>
              <w:t>minutes)/Nu</w:t>
            </w:r>
            <w:r>
              <w:rPr>
                <w:sz w:val="18"/>
              </w:rPr>
              <w:t> mber of </w:t>
            </w:r>
            <w:r>
              <w:rPr>
                <w:spacing w:val="-2"/>
                <w:sz w:val="18"/>
              </w:rPr>
              <w:t>patients</w:t>
            </w:r>
            <w:r>
              <w:rPr>
                <w:sz w:val="18"/>
              </w:rPr>
              <w:t> </w:t>
            </w:r>
            <w:r>
              <w:rPr>
                <w:spacing w:val="-2"/>
                <w:sz w:val="18"/>
              </w:rPr>
              <w:t>discharged</w:t>
            </w:r>
          </w:p>
        </w:tc>
        <w:tc>
          <w:tcPr>
            <w:tcW w:w="901" w:type="dxa"/>
          </w:tcPr>
          <w:p>
            <w:pPr>
              <w:pStyle w:val="TableParagraph"/>
              <w:spacing w:line="218" w:lineRule="exact"/>
              <w:ind w:right="68"/>
              <w:jc w:val="center"/>
              <w:rPr>
                <w:sz w:val="18"/>
              </w:rPr>
            </w:pPr>
            <w:r>
              <w:rPr>
                <w:spacing w:val="-2"/>
                <w:sz w:val="18"/>
              </w:rPr>
              <w:t>Minutes</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62"/>
              <w:rPr>
                <w:sz w:val="18"/>
              </w:rPr>
            </w:pPr>
            <w:r>
              <w:rPr>
                <w:sz w:val="18"/>
              </w:rPr>
              <w:t>In case patients request additional time to leave the clinical unit that shall not be added.</w:t>
            </w:r>
            <w:r>
              <w:rPr>
                <w:spacing w:val="-10"/>
                <w:sz w:val="18"/>
              </w:rPr>
              <w:t> </w:t>
            </w:r>
            <w:r>
              <w:rPr>
                <w:sz w:val="18"/>
              </w:rPr>
              <w:t>The</w:t>
            </w:r>
            <w:r>
              <w:rPr>
                <w:spacing w:val="-9"/>
                <w:sz w:val="18"/>
              </w:rPr>
              <w:t> </w:t>
            </w:r>
            <w:r>
              <w:rPr>
                <w:sz w:val="18"/>
              </w:rPr>
              <w:t>discharge</w:t>
            </w:r>
            <w:r>
              <w:rPr>
                <w:spacing w:val="-10"/>
                <w:sz w:val="18"/>
              </w:rPr>
              <w:t> </w:t>
            </w:r>
            <w:r>
              <w:rPr>
                <w:sz w:val="18"/>
              </w:rPr>
              <w:t>is</w:t>
            </w:r>
            <w:r>
              <w:rPr>
                <w:spacing w:val="-10"/>
                <w:sz w:val="18"/>
              </w:rPr>
              <w:t> </w:t>
            </w:r>
            <w:r>
              <w:rPr>
                <w:sz w:val="18"/>
              </w:rPr>
              <w:t>deemed</w:t>
            </w:r>
          </w:p>
          <w:p>
            <w:pPr>
              <w:pStyle w:val="TableParagraph"/>
              <w:ind w:left="101" w:right="109"/>
              <w:rPr>
                <w:sz w:val="18"/>
              </w:rPr>
            </w:pPr>
            <w:r>
              <w:rPr>
                <w:sz w:val="18"/>
              </w:rPr>
              <w:t>to</w:t>
            </w:r>
            <w:r>
              <w:rPr>
                <w:spacing w:val="-9"/>
                <w:sz w:val="18"/>
              </w:rPr>
              <w:t> </w:t>
            </w:r>
            <w:r>
              <w:rPr>
                <w:sz w:val="18"/>
              </w:rPr>
              <w:t>have</w:t>
            </w:r>
            <w:r>
              <w:rPr>
                <w:spacing w:val="-8"/>
                <w:sz w:val="18"/>
              </w:rPr>
              <w:t> </w:t>
            </w:r>
            <w:r>
              <w:rPr>
                <w:sz w:val="18"/>
              </w:rPr>
              <w:t>been</w:t>
            </w:r>
            <w:r>
              <w:rPr>
                <w:spacing w:val="-9"/>
                <w:sz w:val="18"/>
              </w:rPr>
              <w:t> </w:t>
            </w:r>
            <w:r>
              <w:rPr>
                <w:sz w:val="18"/>
              </w:rPr>
              <w:t>completed</w:t>
            </w:r>
            <w:r>
              <w:rPr>
                <w:spacing w:val="-9"/>
                <w:sz w:val="18"/>
              </w:rPr>
              <w:t> </w:t>
            </w:r>
            <w:r>
              <w:rPr>
                <w:sz w:val="18"/>
              </w:rPr>
              <w:t>when</w:t>
            </w:r>
            <w:r>
              <w:rPr>
                <w:spacing w:val="-9"/>
                <w:sz w:val="18"/>
              </w:rPr>
              <w:t> </w:t>
            </w:r>
            <w:r>
              <w:rPr>
                <w:sz w:val="18"/>
              </w:rPr>
              <w:t>the formalities for the same have been completed. Day care</w:t>
            </w:r>
            <w:r>
              <w:rPr>
                <w:spacing w:val="40"/>
                <w:sz w:val="18"/>
              </w:rPr>
              <w:t> </w:t>
            </w:r>
            <w:r>
              <w:rPr>
                <w:sz w:val="18"/>
              </w:rPr>
              <w:t>patients are not included.</w:t>
            </w:r>
          </w:p>
          <w:p>
            <w:pPr>
              <w:pStyle w:val="TableParagraph"/>
              <w:spacing w:before="12"/>
              <w:rPr>
                <w:rFonts w:ascii="Franklin Gothic Medium"/>
                <w:sz w:val="18"/>
              </w:rPr>
            </w:pPr>
          </w:p>
          <w:p>
            <w:pPr>
              <w:pStyle w:val="TableParagraph"/>
              <w:ind w:left="101"/>
              <w:rPr>
                <w:sz w:val="18"/>
              </w:rPr>
            </w:pPr>
            <w:r>
              <w:rPr>
                <w:sz w:val="18"/>
              </w:rPr>
              <w:t>Sampling:</w:t>
            </w:r>
            <w:r>
              <w:rPr>
                <w:spacing w:val="-2"/>
                <w:sz w:val="18"/>
              </w:rPr>
              <w:t> </w:t>
            </w:r>
            <w:r>
              <w:rPr>
                <w:spacing w:val="-5"/>
                <w:sz w:val="18"/>
              </w:rPr>
              <w:t>No</w:t>
            </w:r>
          </w:p>
        </w:tc>
      </w:tr>
      <w:tr>
        <w:trPr>
          <w:trHeight w:val="3735"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26"/>
              <w:rPr>
                <w:rFonts w:ascii="Franklin Gothic Medium"/>
                <w:sz w:val="18"/>
              </w:rPr>
            </w:pPr>
          </w:p>
          <w:p>
            <w:pPr>
              <w:pStyle w:val="TableParagraph"/>
              <w:ind w:left="16" w:right="1"/>
              <w:jc w:val="center"/>
              <w:rPr>
                <w:sz w:val="18"/>
              </w:rPr>
            </w:pPr>
            <w:r>
              <w:rPr>
                <w:spacing w:val="-5"/>
                <w:sz w:val="18"/>
              </w:rPr>
              <w:t>11</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26"/>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Pr>
                <w:sz w:val="18"/>
              </w:rPr>
            </w:pPr>
            <w:r>
              <w:rPr>
                <w:sz w:val="18"/>
              </w:rPr>
              <w:t>Time for </w:t>
            </w:r>
            <w:r>
              <w:rPr>
                <w:spacing w:val="-2"/>
                <w:sz w:val="18"/>
              </w:rPr>
              <w:t>initial</w:t>
            </w:r>
            <w:r>
              <w:rPr>
                <w:sz w:val="18"/>
              </w:rPr>
              <w:t> </w:t>
            </w:r>
            <w:r>
              <w:rPr>
                <w:spacing w:val="-2"/>
                <w:sz w:val="18"/>
              </w:rPr>
              <w:t>assessment</w:t>
            </w:r>
            <w:r>
              <w:rPr>
                <w:sz w:val="18"/>
              </w:rPr>
              <w:t> of</w:t>
            </w:r>
            <w:r>
              <w:rPr>
                <w:spacing w:val="-2"/>
                <w:sz w:val="18"/>
              </w:rPr>
              <w:t> </w:t>
            </w:r>
            <w:r>
              <w:rPr>
                <w:sz w:val="18"/>
              </w:rPr>
              <w:t>indoor </w:t>
            </w:r>
            <w:r>
              <w:rPr>
                <w:spacing w:val="-2"/>
                <w:sz w:val="18"/>
              </w:rPr>
              <w:t>patients</w:t>
            </w:r>
          </w:p>
        </w:tc>
        <w:tc>
          <w:tcPr>
            <w:tcW w:w="1306" w:type="dxa"/>
          </w:tcPr>
          <w:p>
            <w:pPr>
              <w:pStyle w:val="TableParagraph"/>
              <w:ind w:left="103" w:right="107"/>
              <w:rPr>
                <w:sz w:val="18"/>
              </w:rPr>
            </w:pPr>
            <w:r>
              <w:rPr>
                <w:sz w:val="18"/>
              </w:rPr>
              <w:t>The time shall begin</w:t>
            </w:r>
            <w:r>
              <w:rPr>
                <w:spacing w:val="-11"/>
                <w:sz w:val="18"/>
              </w:rPr>
              <w:t> </w:t>
            </w:r>
            <w:r>
              <w:rPr>
                <w:sz w:val="18"/>
              </w:rPr>
              <w:t>from</w:t>
            </w:r>
            <w:r>
              <w:rPr>
                <w:spacing w:val="-10"/>
                <w:sz w:val="18"/>
              </w:rPr>
              <w:t> </w:t>
            </w:r>
            <w:r>
              <w:rPr>
                <w:sz w:val="18"/>
              </w:rPr>
              <w:t>the time that the patient</w:t>
            </w:r>
            <w:r>
              <w:rPr>
                <w:spacing w:val="-2"/>
                <w:sz w:val="18"/>
              </w:rPr>
              <w:t> </w:t>
            </w:r>
            <w:r>
              <w:rPr>
                <w:sz w:val="18"/>
              </w:rPr>
              <w:t>has arrived at the bed of the ward until the time that the </w:t>
            </w:r>
            <w:r>
              <w:rPr>
                <w:spacing w:val="-2"/>
                <w:sz w:val="18"/>
              </w:rPr>
              <w:t>initial</w:t>
            </w:r>
            <w:r>
              <w:rPr>
                <w:sz w:val="18"/>
              </w:rPr>
              <w:t> </w:t>
            </w:r>
            <w:r>
              <w:rPr>
                <w:spacing w:val="-2"/>
                <w:sz w:val="18"/>
              </w:rPr>
              <w:t>assessment</w:t>
            </w:r>
            <w:r>
              <w:rPr>
                <w:spacing w:val="40"/>
                <w:sz w:val="18"/>
              </w:rPr>
              <w:t> </w:t>
            </w:r>
            <w:r>
              <w:rPr>
                <w:sz w:val="18"/>
              </w:rPr>
              <w:t>has</w:t>
            </w:r>
            <w:r>
              <w:rPr>
                <w:spacing w:val="-4"/>
                <w:sz w:val="18"/>
              </w:rPr>
              <w:t> </w:t>
            </w:r>
            <w:r>
              <w:rPr>
                <w:sz w:val="18"/>
              </w:rPr>
              <w:t>been </w:t>
            </w:r>
            <w:r>
              <w:rPr>
                <w:spacing w:val="-2"/>
                <w:sz w:val="18"/>
              </w:rPr>
              <w:t>completed</w:t>
            </w:r>
            <w:r>
              <w:rPr>
                <w:spacing w:val="80"/>
                <w:sz w:val="18"/>
              </w:rPr>
              <w:t> </w:t>
            </w:r>
            <w:r>
              <w:rPr>
                <w:spacing w:val="-4"/>
                <w:sz w:val="18"/>
              </w:rPr>
              <w:t>and</w:t>
            </w:r>
            <w:r>
              <w:rPr>
                <w:sz w:val="18"/>
              </w:rPr>
              <w:t> </w:t>
            </w:r>
            <w:r>
              <w:rPr>
                <w:spacing w:val="-2"/>
                <w:sz w:val="18"/>
              </w:rPr>
              <w:t>documented</w:t>
            </w:r>
            <w:r>
              <w:rPr>
                <w:spacing w:val="40"/>
                <w:sz w:val="18"/>
              </w:rPr>
              <w:t> </w:t>
            </w:r>
            <w:r>
              <w:rPr>
                <w:sz w:val="18"/>
              </w:rPr>
              <w:t>by a doctor.</w:t>
            </w:r>
          </w:p>
        </w:tc>
        <w:tc>
          <w:tcPr>
            <w:tcW w:w="1281" w:type="dxa"/>
          </w:tcPr>
          <w:p>
            <w:pPr>
              <w:pStyle w:val="TableParagraph"/>
              <w:ind w:left="103" w:right="116"/>
              <w:rPr>
                <w:sz w:val="18"/>
              </w:rPr>
            </w:pPr>
            <w:r>
              <w:rPr>
                <w:sz w:val="18"/>
              </w:rPr>
              <w:t>(Sum of time taken for the </w:t>
            </w:r>
            <w:r>
              <w:rPr>
                <w:spacing w:val="-2"/>
                <w:sz w:val="18"/>
              </w:rPr>
              <w:t>assessment</w:t>
            </w:r>
            <w:r>
              <w:rPr>
                <w:spacing w:val="40"/>
                <w:sz w:val="18"/>
              </w:rPr>
              <w:t> </w:t>
            </w:r>
            <w:r>
              <w:rPr>
                <w:sz w:val="18"/>
              </w:rPr>
              <w:t>(in</w:t>
            </w:r>
            <w:r>
              <w:rPr>
                <w:spacing w:val="-2"/>
                <w:sz w:val="18"/>
              </w:rPr>
              <w:t> </w:t>
            </w:r>
            <w:r>
              <w:rPr>
                <w:sz w:val="18"/>
              </w:rPr>
              <w:t>minutes)/ Total</w:t>
            </w:r>
            <w:r>
              <w:rPr>
                <w:spacing w:val="-6"/>
                <w:sz w:val="18"/>
              </w:rPr>
              <w:t> </w:t>
            </w:r>
            <w:r>
              <w:rPr>
                <w:sz w:val="18"/>
              </w:rPr>
              <w:t>number </w:t>
            </w:r>
            <w:r>
              <w:rPr>
                <w:spacing w:val="-2"/>
                <w:sz w:val="18"/>
              </w:rPr>
              <w:t>of</w:t>
            </w:r>
            <w:r>
              <w:rPr>
                <w:spacing w:val="-9"/>
                <w:sz w:val="18"/>
              </w:rPr>
              <w:t> </w:t>
            </w:r>
            <w:r>
              <w:rPr>
                <w:spacing w:val="-2"/>
                <w:sz w:val="18"/>
              </w:rPr>
              <w:t>admissions)</w:t>
            </w:r>
          </w:p>
        </w:tc>
        <w:tc>
          <w:tcPr>
            <w:tcW w:w="901" w:type="dxa"/>
          </w:tcPr>
          <w:p>
            <w:pPr>
              <w:pStyle w:val="TableParagraph"/>
              <w:spacing w:line="218" w:lineRule="exact"/>
              <w:ind w:right="68"/>
              <w:jc w:val="center"/>
              <w:rPr>
                <w:sz w:val="18"/>
              </w:rPr>
            </w:pPr>
            <w:r>
              <w:rPr>
                <w:spacing w:val="-2"/>
                <w:sz w:val="18"/>
              </w:rPr>
              <w:t>Minutes</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02"/>
              <w:rPr>
                <w:sz w:val="18"/>
              </w:rPr>
            </w:pPr>
            <w:r>
              <w:rPr>
                <w:sz w:val="18"/>
              </w:rPr>
              <w:t>This shall be captured either through the HIS or through an audit. In case of an audit, the sample</w:t>
            </w:r>
            <w:r>
              <w:rPr>
                <w:spacing w:val="-5"/>
                <w:sz w:val="18"/>
              </w:rPr>
              <w:t> </w:t>
            </w:r>
            <w:r>
              <w:rPr>
                <w:sz w:val="18"/>
              </w:rPr>
              <w:t>size</w:t>
            </w:r>
            <w:r>
              <w:rPr>
                <w:spacing w:val="-5"/>
                <w:sz w:val="18"/>
              </w:rPr>
              <w:t> </w:t>
            </w:r>
            <w:r>
              <w:rPr>
                <w:sz w:val="18"/>
              </w:rPr>
              <w:t>shall</w:t>
            </w:r>
            <w:r>
              <w:rPr>
                <w:spacing w:val="-8"/>
                <w:sz w:val="18"/>
              </w:rPr>
              <w:t> </w:t>
            </w:r>
            <w:r>
              <w:rPr>
                <w:sz w:val="18"/>
              </w:rPr>
              <w:t>be</w:t>
            </w:r>
            <w:r>
              <w:rPr>
                <w:spacing w:val="-5"/>
                <w:sz w:val="18"/>
              </w:rPr>
              <w:t> </w:t>
            </w:r>
            <w:r>
              <w:rPr>
                <w:sz w:val="18"/>
              </w:rPr>
              <w:t>as</w:t>
            </w:r>
            <w:r>
              <w:rPr>
                <w:spacing w:val="-7"/>
                <w:sz w:val="18"/>
              </w:rPr>
              <w:t> </w:t>
            </w:r>
            <w:r>
              <w:rPr>
                <w:sz w:val="18"/>
              </w:rPr>
              <w:t>specified</w:t>
            </w:r>
            <w:r>
              <w:rPr>
                <w:spacing w:val="-6"/>
                <w:sz w:val="18"/>
              </w:rPr>
              <w:t> </w:t>
            </w:r>
            <w:r>
              <w:rPr>
                <w:sz w:val="18"/>
              </w:rPr>
              <w:t>in the sample size calculation table. Daycare</w:t>
            </w:r>
            <w:r>
              <w:rPr>
                <w:spacing w:val="-11"/>
                <w:sz w:val="18"/>
              </w:rPr>
              <w:t> </w:t>
            </w:r>
            <w:r>
              <w:rPr>
                <w:sz w:val="18"/>
              </w:rPr>
              <w:t>patients</w:t>
            </w:r>
            <w:r>
              <w:rPr>
                <w:spacing w:val="-10"/>
                <w:sz w:val="18"/>
              </w:rPr>
              <w:t> </w:t>
            </w:r>
            <w:r>
              <w:rPr>
                <w:sz w:val="18"/>
              </w:rPr>
              <w:t>are</w:t>
            </w:r>
            <w:r>
              <w:rPr>
                <w:spacing w:val="-10"/>
                <w:sz w:val="18"/>
              </w:rPr>
              <w:t> </w:t>
            </w:r>
            <w:r>
              <w:rPr>
                <w:sz w:val="18"/>
              </w:rPr>
              <w:t>not</w:t>
            </w:r>
            <w:r>
              <w:rPr>
                <w:spacing w:val="-10"/>
                <w:sz w:val="18"/>
              </w:rPr>
              <w:t> </w:t>
            </w:r>
            <w:r>
              <w:rPr>
                <w:sz w:val="18"/>
              </w:rPr>
              <w:t>included. Sampling: Yes</w:t>
            </w:r>
          </w:p>
          <w:p>
            <w:pPr>
              <w:pStyle w:val="TableParagraph"/>
              <w:spacing w:before="1"/>
              <w:ind w:left="101"/>
              <w:rPr>
                <w:sz w:val="18"/>
              </w:rPr>
            </w:pPr>
            <w:r>
              <w:rPr>
                <w:sz w:val="18"/>
              </w:rPr>
              <w:t>Sampling</w:t>
            </w:r>
            <w:r>
              <w:rPr>
                <w:spacing w:val="-11"/>
                <w:sz w:val="18"/>
              </w:rPr>
              <w:t> </w:t>
            </w:r>
            <w:r>
              <w:rPr>
                <w:sz w:val="18"/>
              </w:rPr>
              <w:t>methodology:</w:t>
            </w:r>
            <w:r>
              <w:rPr>
                <w:spacing w:val="-10"/>
                <w:sz w:val="18"/>
              </w:rPr>
              <w:t> </w:t>
            </w:r>
            <w:r>
              <w:rPr>
                <w:sz w:val="18"/>
              </w:rPr>
              <w:t>Stratified </w:t>
            </w:r>
            <w:r>
              <w:rPr>
                <w:spacing w:val="-2"/>
                <w:sz w:val="18"/>
              </w:rPr>
              <w:t>random</w:t>
            </w:r>
          </w:p>
          <w:p>
            <w:pPr>
              <w:pStyle w:val="TableParagraph"/>
              <w:spacing w:before="11"/>
              <w:rPr>
                <w:rFonts w:ascii="Franklin Gothic Medium"/>
                <w:sz w:val="18"/>
              </w:rPr>
            </w:pPr>
          </w:p>
          <w:p>
            <w:pPr>
              <w:pStyle w:val="TableParagraph"/>
              <w:ind w:left="101" w:right="342"/>
              <w:rPr>
                <w:sz w:val="18"/>
              </w:rPr>
            </w:pPr>
            <w:r>
              <w:rPr>
                <w:sz w:val="18"/>
              </w:rPr>
              <w:t>For</w:t>
            </w:r>
            <w:r>
              <w:rPr>
                <w:spacing w:val="-7"/>
                <w:sz w:val="18"/>
              </w:rPr>
              <w:t> </w:t>
            </w:r>
            <w:r>
              <w:rPr>
                <w:sz w:val="18"/>
              </w:rPr>
              <w:t>data</w:t>
            </w:r>
            <w:r>
              <w:rPr>
                <w:spacing w:val="-10"/>
                <w:sz w:val="18"/>
              </w:rPr>
              <w:t> </w:t>
            </w:r>
            <w:r>
              <w:rPr>
                <w:sz w:val="18"/>
              </w:rPr>
              <w:t>captured</w:t>
            </w:r>
            <w:r>
              <w:rPr>
                <w:spacing w:val="-8"/>
                <w:sz w:val="18"/>
              </w:rPr>
              <w:t> </w:t>
            </w:r>
            <w:r>
              <w:rPr>
                <w:sz w:val="18"/>
              </w:rPr>
              <w:t>through</w:t>
            </w:r>
            <w:r>
              <w:rPr>
                <w:spacing w:val="-9"/>
                <w:sz w:val="18"/>
              </w:rPr>
              <w:t> </w:t>
            </w:r>
            <w:r>
              <w:rPr>
                <w:sz w:val="18"/>
              </w:rPr>
              <w:t>HIS-Sampling: No</w:t>
            </w:r>
          </w:p>
          <w:p>
            <w:pPr>
              <w:pStyle w:val="TableParagraph"/>
              <w:spacing w:line="220" w:lineRule="atLeast"/>
              <w:ind w:left="101" w:right="123"/>
              <w:rPr>
                <w:sz w:val="18"/>
              </w:rPr>
            </w:pPr>
            <w:r>
              <w:rPr>
                <w:sz w:val="18"/>
              </w:rPr>
              <w:t>The system should track the number</w:t>
            </w:r>
            <w:r>
              <w:rPr>
                <w:spacing w:val="-3"/>
                <w:sz w:val="18"/>
              </w:rPr>
              <w:t> </w:t>
            </w:r>
            <w:r>
              <w:rPr>
                <w:sz w:val="18"/>
              </w:rPr>
              <w:t>of</w:t>
            </w:r>
            <w:r>
              <w:rPr>
                <w:spacing w:val="-5"/>
                <w:sz w:val="18"/>
              </w:rPr>
              <w:t> </w:t>
            </w:r>
            <w:r>
              <w:rPr>
                <w:sz w:val="18"/>
              </w:rPr>
              <w:t>records</w:t>
            </w:r>
            <w:r>
              <w:rPr>
                <w:spacing w:val="-5"/>
                <w:sz w:val="18"/>
              </w:rPr>
              <w:t> </w:t>
            </w:r>
            <w:r>
              <w:rPr>
                <w:sz w:val="18"/>
              </w:rPr>
              <w:t>for</w:t>
            </w:r>
            <w:r>
              <w:rPr>
                <w:spacing w:val="-3"/>
                <w:sz w:val="18"/>
              </w:rPr>
              <w:t> </w:t>
            </w:r>
            <w:r>
              <w:rPr>
                <w:sz w:val="18"/>
              </w:rPr>
              <w:t>which</w:t>
            </w:r>
            <w:r>
              <w:rPr>
                <w:spacing w:val="-5"/>
                <w:sz w:val="18"/>
              </w:rPr>
              <w:t> </w:t>
            </w:r>
            <w:r>
              <w:rPr>
                <w:sz w:val="18"/>
              </w:rPr>
              <w:t>the initial</w:t>
            </w:r>
            <w:r>
              <w:rPr>
                <w:spacing w:val="-11"/>
                <w:sz w:val="18"/>
              </w:rPr>
              <w:t> </w:t>
            </w:r>
            <w:r>
              <w:rPr>
                <w:sz w:val="18"/>
              </w:rPr>
              <w:t>assessment</w:t>
            </w:r>
            <w:r>
              <w:rPr>
                <w:spacing w:val="-10"/>
                <w:sz w:val="18"/>
              </w:rPr>
              <w:t> </w:t>
            </w:r>
            <w:r>
              <w:rPr>
                <w:sz w:val="18"/>
              </w:rPr>
              <w:t>time</w:t>
            </w:r>
            <w:r>
              <w:rPr>
                <w:spacing w:val="-10"/>
                <w:sz w:val="18"/>
              </w:rPr>
              <w:t> </w:t>
            </w:r>
            <w:r>
              <w:rPr>
                <w:sz w:val="18"/>
              </w:rPr>
              <w:t>could</w:t>
            </w:r>
            <w:r>
              <w:rPr>
                <w:spacing w:val="-10"/>
                <w:sz w:val="18"/>
              </w:rPr>
              <w:t> </w:t>
            </w:r>
            <w:r>
              <w:rPr>
                <w:sz w:val="18"/>
              </w:rPr>
              <w:t>not be captured due to incomplete </w:t>
            </w:r>
            <w:r>
              <w:rPr>
                <w:spacing w:val="-2"/>
                <w:sz w:val="18"/>
              </w:rPr>
              <w:t>data.</w:t>
            </w:r>
          </w:p>
        </w:tc>
      </w:tr>
      <w:tr>
        <w:trPr>
          <w:trHeight w:val="3956"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33"/>
              <w:rPr>
                <w:rFonts w:ascii="Franklin Gothic Medium"/>
                <w:sz w:val="18"/>
              </w:rPr>
            </w:pPr>
          </w:p>
          <w:p>
            <w:pPr>
              <w:pStyle w:val="TableParagraph"/>
              <w:ind w:left="16" w:right="1"/>
              <w:jc w:val="center"/>
              <w:rPr>
                <w:sz w:val="18"/>
              </w:rPr>
            </w:pPr>
            <w:r>
              <w:rPr>
                <w:spacing w:val="-5"/>
                <w:sz w:val="18"/>
              </w:rPr>
              <w:t>12</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33"/>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13"/>
              <w:rPr>
                <w:sz w:val="18"/>
              </w:rPr>
            </w:pPr>
            <w:r>
              <w:rPr>
                <w:spacing w:val="-2"/>
                <w:sz w:val="18"/>
              </w:rPr>
              <w:t>Waiting</w:t>
            </w:r>
            <w:r>
              <w:rPr>
                <w:sz w:val="18"/>
              </w:rPr>
              <w:t> time for </w:t>
            </w:r>
            <w:r>
              <w:rPr>
                <w:spacing w:val="-2"/>
                <w:sz w:val="18"/>
              </w:rPr>
              <w:t>outpatient</w:t>
            </w:r>
            <w:r>
              <w:rPr>
                <w:sz w:val="18"/>
              </w:rPr>
              <w:t> </w:t>
            </w:r>
            <w:r>
              <w:rPr>
                <w:spacing w:val="-2"/>
                <w:sz w:val="18"/>
              </w:rPr>
              <w:t>consultatio</w:t>
            </w:r>
            <w:r>
              <w:rPr>
                <w:sz w:val="18"/>
              </w:rPr>
              <w:t> </w:t>
            </w:r>
            <w:r>
              <w:rPr>
                <w:spacing w:val="-10"/>
                <w:sz w:val="18"/>
              </w:rPr>
              <w:t>n</w:t>
            </w:r>
          </w:p>
        </w:tc>
        <w:tc>
          <w:tcPr>
            <w:tcW w:w="1306" w:type="dxa"/>
          </w:tcPr>
          <w:p>
            <w:pPr>
              <w:pStyle w:val="TableParagraph"/>
              <w:ind w:left="103" w:right="145"/>
              <w:rPr>
                <w:sz w:val="18"/>
              </w:rPr>
            </w:pPr>
            <w:r>
              <w:rPr>
                <w:sz w:val="18"/>
              </w:rPr>
              <w:t>Waiting</w:t>
            </w:r>
            <w:r>
              <w:rPr>
                <w:spacing w:val="-2"/>
                <w:sz w:val="18"/>
              </w:rPr>
              <w:t> </w:t>
            </w:r>
            <w:r>
              <w:rPr>
                <w:sz w:val="18"/>
              </w:rPr>
              <w:t>time is the length of time which one</w:t>
            </w:r>
            <w:r>
              <w:rPr>
                <w:spacing w:val="-11"/>
                <w:sz w:val="18"/>
              </w:rPr>
              <w:t> </w:t>
            </w:r>
            <w:r>
              <w:rPr>
                <w:sz w:val="18"/>
              </w:rPr>
              <w:t>must</w:t>
            </w:r>
            <w:r>
              <w:rPr>
                <w:spacing w:val="-10"/>
                <w:sz w:val="18"/>
              </w:rPr>
              <w:t> </w:t>
            </w:r>
            <w:r>
              <w:rPr>
                <w:sz w:val="18"/>
              </w:rPr>
              <w:t>wait in order for a specific</w:t>
            </w:r>
            <w:r>
              <w:rPr>
                <w:spacing w:val="-11"/>
                <w:sz w:val="18"/>
              </w:rPr>
              <w:t> </w:t>
            </w:r>
            <w:r>
              <w:rPr>
                <w:sz w:val="18"/>
              </w:rPr>
              <w:t>action to occur after that action is requested</w:t>
            </w:r>
            <w:r>
              <w:rPr>
                <w:spacing w:val="-2"/>
                <w:sz w:val="18"/>
              </w:rPr>
              <w:t> </w:t>
            </w:r>
            <w:r>
              <w:rPr>
                <w:sz w:val="18"/>
              </w:rPr>
              <w:t>or </w:t>
            </w:r>
            <w:r>
              <w:rPr>
                <w:spacing w:val="-2"/>
                <w:sz w:val="18"/>
              </w:rPr>
              <w:t>mandated.</w:t>
            </w:r>
          </w:p>
          <w:p>
            <w:pPr>
              <w:pStyle w:val="TableParagraph"/>
              <w:ind w:left="103" w:right="105"/>
              <w:rPr>
                <w:sz w:val="18"/>
              </w:rPr>
            </w:pPr>
            <w:r>
              <w:rPr>
                <w:sz w:val="18"/>
              </w:rPr>
              <w:t>Waiting</w:t>
            </w:r>
            <w:r>
              <w:rPr>
                <w:spacing w:val="-2"/>
                <w:sz w:val="18"/>
              </w:rPr>
              <w:t> </w:t>
            </w:r>
            <w:r>
              <w:rPr>
                <w:sz w:val="18"/>
              </w:rPr>
              <w:t>time for</w:t>
            </w:r>
            <w:r>
              <w:rPr>
                <w:spacing w:val="-11"/>
                <w:sz w:val="18"/>
              </w:rPr>
              <w:t> </w:t>
            </w:r>
            <w:r>
              <w:rPr>
                <w:sz w:val="18"/>
              </w:rPr>
              <w:t>outpatient </w:t>
            </w:r>
            <w:r>
              <w:rPr>
                <w:spacing w:val="-2"/>
                <w:sz w:val="18"/>
              </w:rPr>
              <w:t>consultation</w:t>
            </w:r>
            <w:r>
              <w:rPr>
                <w:spacing w:val="-9"/>
                <w:sz w:val="18"/>
              </w:rPr>
              <w:t> </w:t>
            </w:r>
            <w:r>
              <w:rPr>
                <w:spacing w:val="-2"/>
                <w:sz w:val="18"/>
              </w:rPr>
              <w:t>is</w:t>
            </w:r>
            <w:r>
              <w:rPr>
                <w:sz w:val="18"/>
              </w:rPr>
              <w:t> the time from which</w:t>
            </w:r>
            <w:r>
              <w:rPr>
                <w:spacing w:val="-2"/>
                <w:sz w:val="18"/>
              </w:rPr>
              <w:t> </w:t>
            </w:r>
            <w:r>
              <w:rPr>
                <w:sz w:val="18"/>
              </w:rPr>
              <w:t>the patient</w:t>
            </w:r>
            <w:r>
              <w:rPr>
                <w:spacing w:val="-2"/>
                <w:sz w:val="18"/>
              </w:rPr>
              <w:t> </w:t>
            </w:r>
            <w:r>
              <w:rPr>
                <w:sz w:val="18"/>
              </w:rPr>
              <w:t>has</w:t>
            </w:r>
          </w:p>
          <w:p>
            <w:pPr>
              <w:pStyle w:val="TableParagraph"/>
              <w:spacing w:line="220" w:lineRule="atLeast"/>
              <w:ind w:left="103"/>
              <w:rPr>
                <w:sz w:val="18"/>
              </w:rPr>
            </w:pPr>
            <w:r>
              <w:rPr>
                <w:sz w:val="18"/>
              </w:rPr>
              <w:t>come</w:t>
            </w:r>
            <w:r>
              <w:rPr>
                <w:spacing w:val="-11"/>
                <w:sz w:val="18"/>
              </w:rPr>
              <w:t> </w:t>
            </w:r>
            <w:r>
              <w:rPr>
                <w:sz w:val="18"/>
              </w:rPr>
              <w:t>to</w:t>
            </w:r>
            <w:r>
              <w:rPr>
                <w:spacing w:val="-10"/>
                <w:sz w:val="18"/>
              </w:rPr>
              <w:t> </w:t>
            </w:r>
            <w:r>
              <w:rPr>
                <w:sz w:val="18"/>
              </w:rPr>
              <w:t>the </w:t>
            </w:r>
            <w:r>
              <w:rPr>
                <w:spacing w:val="-2"/>
                <w:sz w:val="18"/>
              </w:rPr>
              <w:t>concerned</w:t>
            </w:r>
          </w:p>
        </w:tc>
        <w:tc>
          <w:tcPr>
            <w:tcW w:w="1281" w:type="dxa"/>
          </w:tcPr>
          <w:p>
            <w:pPr>
              <w:pStyle w:val="TableParagraph"/>
              <w:ind w:left="103" w:right="153"/>
              <w:rPr>
                <w:sz w:val="18"/>
              </w:rPr>
            </w:pPr>
            <w:r>
              <w:rPr>
                <w:sz w:val="18"/>
              </w:rPr>
              <w:t>Sum total time (in minutes)</w:t>
            </w:r>
            <w:r>
              <w:rPr>
                <w:spacing w:val="-2"/>
                <w:sz w:val="18"/>
              </w:rPr>
              <w:t> </w:t>
            </w:r>
            <w:r>
              <w:rPr>
                <w:sz w:val="18"/>
              </w:rPr>
              <w:t>for </w:t>
            </w:r>
            <w:r>
              <w:rPr>
                <w:spacing w:val="-2"/>
                <w:sz w:val="18"/>
              </w:rPr>
              <w:t>consultation/</w:t>
            </w:r>
            <w:r>
              <w:rPr>
                <w:sz w:val="18"/>
              </w:rPr>
              <w:t> Total</w:t>
            </w:r>
            <w:r>
              <w:rPr>
                <w:spacing w:val="-11"/>
                <w:sz w:val="18"/>
              </w:rPr>
              <w:t> </w:t>
            </w:r>
            <w:r>
              <w:rPr>
                <w:sz w:val="18"/>
              </w:rPr>
              <w:t>Number </w:t>
            </w:r>
            <w:r>
              <w:rPr>
                <w:spacing w:val="-6"/>
                <w:sz w:val="18"/>
              </w:rPr>
              <w:t>of</w:t>
            </w:r>
            <w:r>
              <w:rPr>
                <w:spacing w:val="80"/>
                <w:sz w:val="18"/>
              </w:rPr>
              <w:t> </w:t>
            </w:r>
            <w:r>
              <w:rPr>
                <w:spacing w:val="-2"/>
                <w:sz w:val="18"/>
              </w:rPr>
              <w:t>outpatients</w:t>
            </w:r>
          </w:p>
        </w:tc>
        <w:tc>
          <w:tcPr>
            <w:tcW w:w="901" w:type="dxa"/>
          </w:tcPr>
          <w:p>
            <w:pPr>
              <w:pStyle w:val="TableParagraph"/>
              <w:spacing w:line="218" w:lineRule="exact"/>
              <w:ind w:right="68"/>
              <w:jc w:val="center"/>
              <w:rPr>
                <w:sz w:val="18"/>
              </w:rPr>
            </w:pPr>
            <w:r>
              <w:rPr>
                <w:spacing w:val="-2"/>
                <w:sz w:val="18"/>
              </w:rPr>
              <w:t>Minutes</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35"/>
              <w:rPr>
                <w:sz w:val="18"/>
              </w:rPr>
            </w:pPr>
            <w:r>
              <w:rPr>
                <w:sz w:val="18"/>
              </w:rPr>
              <w:t>In the case of appointment patients,</w:t>
            </w:r>
            <w:r>
              <w:rPr>
                <w:spacing w:val="-9"/>
                <w:sz w:val="18"/>
              </w:rPr>
              <w:t> </w:t>
            </w:r>
            <w:r>
              <w:rPr>
                <w:sz w:val="18"/>
              </w:rPr>
              <w:t>the</w:t>
            </w:r>
            <w:r>
              <w:rPr>
                <w:spacing w:val="-9"/>
                <w:sz w:val="18"/>
              </w:rPr>
              <w:t> </w:t>
            </w:r>
            <w:r>
              <w:rPr>
                <w:sz w:val="18"/>
              </w:rPr>
              <w:t>time</w:t>
            </w:r>
            <w:r>
              <w:rPr>
                <w:spacing w:val="-9"/>
                <w:sz w:val="18"/>
              </w:rPr>
              <w:t> </w:t>
            </w:r>
            <w:r>
              <w:rPr>
                <w:sz w:val="18"/>
              </w:rPr>
              <w:t>shall</w:t>
            </w:r>
            <w:r>
              <w:rPr>
                <w:spacing w:val="-7"/>
                <w:sz w:val="18"/>
              </w:rPr>
              <w:t> </w:t>
            </w:r>
            <w:r>
              <w:rPr>
                <w:sz w:val="18"/>
              </w:rPr>
              <w:t>begin</w:t>
            </w:r>
            <w:r>
              <w:rPr>
                <w:spacing w:val="-9"/>
                <w:sz w:val="18"/>
              </w:rPr>
              <w:t> </w:t>
            </w:r>
            <w:r>
              <w:rPr>
                <w:sz w:val="18"/>
              </w:rPr>
              <w:t>with the scheduled appointment time and end when the concerned consultant (not the junior doctor/resident) begins the assessment. In cases where the patient has been seen ahead of the appointment time, the</w:t>
            </w:r>
            <w:r>
              <w:rPr>
                <w:spacing w:val="40"/>
                <w:sz w:val="18"/>
              </w:rPr>
              <w:t> </w:t>
            </w:r>
            <w:r>
              <w:rPr>
                <w:sz w:val="18"/>
              </w:rPr>
              <w:t>waiting time shall be taken as</w:t>
            </w:r>
            <w:r>
              <w:rPr>
                <w:spacing w:val="40"/>
                <w:sz w:val="18"/>
              </w:rPr>
              <w:t> </w:t>
            </w:r>
            <w:r>
              <w:rPr>
                <w:sz w:val="18"/>
              </w:rPr>
              <w:t>zero</w:t>
            </w:r>
            <w:r>
              <w:rPr>
                <w:spacing w:val="-2"/>
                <w:sz w:val="18"/>
              </w:rPr>
              <w:t> </w:t>
            </w:r>
            <w:r>
              <w:rPr>
                <w:sz w:val="18"/>
              </w:rPr>
              <w:t>minutes.</w:t>
            </w:r>
          </w:p>
          <w:p>
            <w:pPr>
              <w:pStyle w:val="TableParagraph"/>
              <w:spacing w:before="13"/>
              <w:rPr>
                <w:rFonts w:ascii="Franklin Gothic Medium"/>
                <w:sz w:val="18"/>
              </w:rPr>
            </w:pPr>
          </w:p>
          <w:p>
            <w:pPr>
              <w:pStyle w:val="TableParagraph"/>
              <w:ind w:left="101"/>
              <w:rPr>
                <w:sz w:val="18"/>
              </w:rPr>
            </w:pPr>
            <w:r>
              <w:rPr>
                <w:sz w:val="18"/>
              </w:rPr>
              <w:t>Sampling:</w:t>
            </w:r>
            <w:r>
              <w:rPr>
                <w:spacing w:val="-2"/>
                <w:sz w:val="18"/>
              </w:rPr>
              <w:t> </w:t>
            </w:r>
            <w:r>
              <w:rPr>
                <w:spacing w:val="-5"/>
                <w:sz w:val="18"/>
              </w:rPr>
              <w:t>No</w:t>
            </w:r>
          </w:p>
        </w:tc>
      </w:tr>
    </w:tbl>
    <w:p>
      <w:pPr>
        <w:pStyle w:val="TableParagraph"/>
        <w:spacing w:after="0"/>
        <w:rPr>
          <w:sz w:val="18"/>
        </w:rPr>
        <w:sectPr>
          <w:type w:val="continuous"/>
          <w:pgSz w:w="10800" w:h="15600"/>
          <w:pgMar w:header="232" w:footer="0" w:top="1040" w:bottom="280" w:left="360" w:right="0"/>
        </w:sectPr>
      </w:pPr>
    </w:p>
    <w:tbl>
      <w:tblPr>
        <w:tblW w:w="0" w:type="auto"/>
        <w:jc w:val="left"/>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6"/>
        <w:gridCol w:w="1001"/>
        <w:gridCol w:w="1066"/>
        <w:gridCol w:w="1306"/>
        <w:gridCol w:w="1281"/>
        <w:gridCol w:w="901"/>
        <w:gridCol w:w="1366"/>
        <w:gridCol w:w="2732"/>
      </w:tblGrid>
      <w:tr>
        <w:trPr>
          <w:trHeight w:val="3191" w:hRule="atLeast"/>
        </w:trPr>
        <w:tc>
          <w:tcPr>
            <w:tcW w:w="596" w:type="dxa"/>
          </w:tcPr>
          <w:p>
            <w:pPr>
              <w:pStyle w:val="TableParagraph"/>
              <w:rPr>
                <w:rFonts w:ascii="Times New Roman"/>
                <w:sz w:val="18"/>
              </w:rPr>
            </w:pPr>
          </w:p>
        </w:tc>
        <w:tc>
          <w:tcPr>
            <w:tcW w:w="1001" w:type="dxa"/>
          </w:tcPr>
          <w:p>
            <w:pPr>
              <w:pStyle w:val="TableParagraph"/>
              <w:rPr>
                <w:rFonts w:ascii="Times New Roman"/>
                <w:sz w:val="18"/>
              </w:rPr>
            </w:pPr>
          </w:p>
        </w:tc>
        <w:tc>
          <w:tcPr>
            <w:tcW w:w="1066" w:type="dxa"/>
          </w:tcPr>
          <w:p>
            <w:pPr>
              <w:pStyle w:val="TableParagraph"/>
              <w:rPr>
                <w:rFonts w:ascii="Times New Roman"/>
                <w:sz w:val="18"/>
              </w:rPr>
            </w:pPr>
          </w:p>
        </w:tc>
        <w:tc>
          <w:tcPr>
            <w:tcW w:w="1306" w:type="dxa"/>
          </w:tcPr>
          <w:p>
            <w:pPr>
              <w:pStyle w:val="TableParagraph"/>
              <w:ind w:left="103" w:right="115"/>
              <w:rPr>
                <w:sz w:val="18"/>
              </w:rPr>
            </w:pPr>
            <w:r>
              <w:rPr>
                <w:spacing w:val="-2"/>
                <w:sz w:val="18"/>
              </w:rPr>
              <w:t>outpatient</w:t>
            </w:r>
            <w:r>
              <w:rPr>
                <w:sz w:val="18"/>
              </w:rPr>
              <w:t> department</w:t>
            </w:r>
            <w:r>
              <w:rPr>
                <w:spacing w:val="-11"/>
                <w:sz w:val="18"/>
              </w:rPr>
              <w:t> </w:t>
            </w:r>
            <w:r>
              <w:rPr>
                <w:sz w:val="18"/>
              </w:rPr>
              <w:t>(it may or may not be the same time as </w:t>
            </w:r>
            <w:r>
              <w:rPr>
                <w:spacing w:val="-2"/>
                <w:sz w:val="18"/>
              </w:rPr>
              <w:t>registration)</w:t>
            </w:r>
            <w:r>
              <w:rPr>
                <w:spacing w:val="40"/>
                <w:sz w:val="18"/>
              </w:rPr>
              <w:t> </w:t>
            </w:r>
            <w:r>
              <w:rPr>
                <w:sz w:val="18"/>
              </w:rPr>
              <w:t>till the time that</w:t>
            </w:r>
            <w:r>
              <w:rPr>
                <w:spacing w:val="-2"/>
                <w:sz w:val="18"/>
              </w:rPr>
              <w:t> </w:t>
            </w:r>
            <w:r>
              <w:rPr>
                <w:sz w:val="18"/>
              </w:rPr>
              <w:t>the </w:t>
            </w:r>
            <w:r>
              <w:rPr>
                <w:spacing w:val="-2"/>
                <w:sz w:val="18"/>
              </w:rPr>
              <w:t>concerned</w:t>
            </w:r>
            <w:r>
              <w:rPr>
                <w:sz w:val="18"/>
              </w:rPr>
              <w:t> </w:t>
            </w:r>
            <w:r>
              <w:rPr>
                <w:spacing w:val="-2"/>
                <w:sz w:val="18"/>
              </w:rPr>
              <w:t>consultant</w:t>
            </w:r>
            <w:r>
              <w:rPr>
                <w:spacing w:val="40"/>
                <w:sz w:val="18"/>
              </w:rPr>
              <w:t> </w:t>
            </w:r>
            <w:r>
              <w:rPr>
                <w:sz w:val="18"/>
              </w:rPr>
              <w:t>(not</w:t>
            </w:r>
            <w:r>
              <w:rPr>
                <w:spacing w:val="-11"/>
                <w:sz w:val="18"/>
              </w:rPr>
              <w:t> </w:t>
            </w:r>
            <w:r>
              <w:rPr>
                <w:sz w:val="18"/>
              </w:rPr>
              <w:t>the</w:t>
            </w:r>
            <w:r>
              <w:rPr>
                <w:spacing w:val="-10"/>
                <w:sz w:val="18"/>
              </w:rPr>
              <w:t> </w:t>
            </w:r>
            <w:r>
              <w:rPr>
                <w:sz w:val="18"/>
              </w:rPr>
              <w:t>junior </w:t>
            </w:r>
            <w:r>
              <w:rPr>
                <w:spacing w:val="-2"/>
                <w:sz w:val="18"/>
              </w:rPr>
              <w:t>doctor/reside</w:t>
            </w:r>
            <w:r>
              <w:rPr>
                <w:sz w:val="18"/>
              </w:rPr>
              <w:t> nt) begins the </w:t>
            </w:r>
            <w:r>
              <w:rPr>
                <w:spacing w:val="-2"/>
                <w:sz w:val="18"/>
              </w:rPr>
              <w:t>assessment.</w:t>
            </w:r>
          </w:p>
        </w:tc>
        <w:tc>
          <w:tcPr>
            <w:tcW w:w="1281" w:type="dxa"/>
          </w:tcPr>
          <w:p>
            <w:pPr>
              <w:pStyle w:val="TableParagraph"/>
              <w:rPr>
                <w:rFonts w:ascii="Times New Roman"/>
                <w:sz w:val="18"/>
              </w:rPr>
            </w:pPr>
          </w:p>
        </w:tc>
        <w:tc>
          <w:tcPr>
            <w:tcW w:w="901" w:type="dxa"/>
          </w:tcPr>
          <w:p>
            <w:pPr>
              <w:pStyle w:val="TableParagraph"/>
              <w:rPr>
                <w:rFonts w:ascii="Times New Roman"/>
                <w:sz w:val="18"/>
              </w:rPr>
            </w:pPr>
          </w:p>
        </w:tc>
        <w:tc>
          <w:tcPr>
            <w:tcW w:w="1366" w:type="dxa"/>
          </w:tcPr>
          <w:p>
            <w:pPr>
              <w:pStyle w:val="TableParagraph"/>
              <w:rPr>
                <w:rFonts w:ascii="Times New Roman"/>
                <w:sz w:val="18"/>
              </w:rPr>
            </w:pPr>
          </w:p>
        </w:tc>
        <w:tc>
          <w:tcPr>
            <w:tcW w:w="2732" w:type="dxa"/>
          </w:tcPr>
          <w:p>
            <w:pPr>
              <w:pStyle w:val="TableParagraph"/>
              <w:rPr>
                <w:rFonts w:ascii="Times New Roman"/>
                <w:sz w:val="18"/>
              </w:rPr>
            </w:pPr>
          </w:p>
        </w:tc>
      </w:tr>
      <w:tr>
        <w:trPr>
          <w:trHeight w:val="3515"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6"/>
              <w:rPr>
                <w:rFonts w:ascii="Franklin Gothic Medium"/>
                <w:sz w:val="18"/>
              </w:rPr>
            </w:pPr>
          </w:p>
          <w:p>
            <w:pPr>
              <w:pStyle w:val="TableParagraph"/>
              <w:ind w:left="16" w:right="1"/>
              <w:jc w:val="center"/>
              <w:rPr>
                <w:sz w:val="18"/>
              </w:rPr>
            </w:pPr>
            <w:r>
              <w:rPr>
                <w:spacing w:val="-5"/>
                <w:sz w:val="18"/>
              </w:rPr>
              <w:t>13</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16"/>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22"/>
              <w:rPr>
                <w:sz w:val="18"/>
              </w:rPr>
            </w:pPr>
            <w:r>
              <w:rPr>
                <w:spacing w:val="-2"/>
                <w:sz w:val="18"/>
              </w:rPr>
              <w:t>Incidence</w:t>
            </w:r>
            <w:r>
              <w:rPr>
                <w:sz w:val="18"/>
              </w:rPr>
              <w:t> of</w:t>
            </w:r>
            <w:r>
              <w:rPr>
                <w:spacing w:val="-11"/>
                <w:sz w:val="18"/>
              </w:rPr>
              <w:t> </w:t>
            </w:r>
            <w:r>
              <w:rPr>
                <w:sz w:val="18"/>
              </w:rPr>
              <w:t>hospital-</w:t>
            </w:r>
            <w:r>
              <w:rPr>
                <w:spacing w:val="-2"/>
                <w:sz w:val="18"/>
              </w:rPr>
              <w:t>associated</w:t>
            </w:r>
            <w:r>
              <w:rPr>
                <w:sz w:val="18"/>
              </w:rPr>
              <w:t> </w:t>
            </w:r>
            <w:r>
              <w:rPr>
                <w:spacing w:val="-2"/>
                <w:sz w:val="18"/>
              </w:rPr>
              <w:t>pressure</w:t>
            </w:r>
            <w:r>
              <w:rPr>
                <w:sz w:val="18"/>
              </w:rPr>
              <w:t> ulcers</w:t>
            </w:r>
            <w:r>
              <w:rPr>
                <w:spacing w:val="-11"/>
                <w:sz w:val="18"/>
              </w:rPr>
              <w:t> </w:t>
            </w:r>
            <w:r>
              <w:rPr>
                <w:sz w:val="18"/>
              </w:rPr>
              <w:t>after </w:t>
            </w:r>
            <w:r>
              <w:rPr>
                <w:spacing w:val="-2"/>
                <w:sz w:val="18"/>
              </w:rPr>
              <w:t>admission</w:t>
            </w:r>
          </w:p>
        </w:tc>
        <w:tc>
          <w:tcPr>
            <w:tcW w:w="1306" w:type="dxa"/>
          </w:tcPr>
          <w:p>
            <w:pPr>
              <w:pStyle w:val="TableParagraph"/>
              <w:ind w:left="103" w:right="206"/>
              <w:rPr>
                <w:sz w:val="18"/>
              </w:rPr>
            </w:pPr>
            <w:r>
              <w:rPr>
                <w:sz w:val="18"/>
              </w:rPr>
              <w:t>A</w:t>
            </w:r>
            <w:r>
              <w:rPr>
                <w:spacing w:val="-2"/>
                <w:sz w:val="18"/>
              </w:rPr>
              <w:t> </w:t>
            </w:r>
            <w:r>
              <w:rPr>
                <w:sz w:val="18"/>
              </w:rPr>
              <w:t>pressure ulcer is a </w:t>
            </w:r>
            <w:r>
              <w:rPr>
                <w:spacing w:val="-2"/>
                <w:sz w:val="18"/>
              </w:rPr>
              <w:t>localized</w:t>
            </w:r>
            <w:r>
              <w:rPr>
                <w:sz w:val="18"/>
              </w:rPr>
              <w:t> injury to the skin</w:t>
            </w:r>
            <w:r>
              <w:rPr>
                <w:spacing w:val="-2"/>
                <w:sz w:val="18"/>
              </w:rPr>
              <w:t> </w:t>
            </w:r>
            <w:r>
              <w:rPr>
                <w:sz w:val="18"/>
              </w:rPr>
              <w:t>and/or </w:t>
            </w:r>
            <w:r>
              <w:rPr>
                <w:spacing w:val="-2"/>
                <w:sz w:val="18"/>
              </w:rPr>
              <w:t>underlying</w:t>
            </w:r>
            <w:r>
              <w:rPr>
                <w:sz w:val="18"/>
              </w:rPr>
              <w:t> </w:t>
            </w:r>
            <w:r>
              <w:rPr>
                <w:spacing w:val="-2"/>
                <w:sz w:val="18"/>
              </w:rPr>
              <w:t>tissue</w:t>
            </w:r>
            <w:r>
              <w:rPr>
                <w:spacing w:val="-9"/>
                <w:sz w:val="18"/>
              </w:rPr>
              <w:t> </w:t>
            </w:r>
            <w:r>
              <w:rPr>
                <w:spacing w:val="-2"/>
                <w:sz w:val="18"/>
              </w:rPr>
              <w:t>usually</w:t>
            </w:r>
            <w:r>
              <w:rPr>
                <w:sz w:val="18"/>
              </w:rPr>
              <w:t> over a bony </w:t>
            </w:r>
            <w:r>
              <w:rPr>
                <w:spacing w:val="-2"/>
                <w:sz w:val="18"/>
              </w:rPr>
              <w:t>prominence,</w:t>
            </w:r>
            <w:r>
              <w:rPr>
                <w:sz w:val="18"/>
              </w:rPr>
              <w:t> as</w:t>
            </w:r>
            <w:r>
              <w:rPr>
                <w:spacing w:val="-1"/>
                <w:sz w:val="18"/>
              </w:rPr>
              <w:t> </w:t>
            </w:r>
            <w:r>
              <w:rPr>
                <w:sz w:val="18"/>
              </w:rPr>
              <w:t>a</w:t>
            </w:r>
            <w:r>
              <w:rPr>
                <w:spacing w:val="-1"/>
                <w:sz w:val="18"/>
              </w:rPr>
              <w:t> </w:t>
            </w:r>
            <w:r>
              <w:rPr>
                <w:sz w:val="18"/>
              </w:rPr>
              <w:t>result of pressure, or pressure in </w:t>
            </w:r>
            <w:r>
              <w:rPr>
                <w:spacing w:val="-2"/>
                <w:sz w:val="18"/>
              </w:rPr>
              <w:t>combination</w:t>
            </w:r>
            <w:r>
              <w:rPr>
                <w:sz w:val="18"/>
              </w:rPr>
              <w:t> with</w:t>
            </w:r>
            <w:r>
              <w:rPr>
                <w:spacing w:val="-2"/>
                <w:sz w:val="18"/>
              </w:rPr>
              <w:t> </w:t>
            </w:r>
            <w:r>
              <w:rPr>
                <w:sz w:val="18"/>
              </w:rPr>
              <w:t>shear </w:t>
            </w:r>
            <w:r>
              <w:rPr>
                <w:spacing w:val="-2"/>
                <w:sz w:val="18"/>
              </w:rPr>
              <w:t>and/or</w:t>
            </w:r>
          </w:p>
          <w:p>
            <w:pPr>
              <w:pStyle w:val="TableParagraph"/>
              <w:spacing w:line="201" w:lineRule="exact"/>
              <w:ind w:left="103"/>
              <w:rPr>
                <w:sz w:val="18"/>
              </w:rPr>
            </w:pPr>
            <w:r>
              <w:rPr>
                <w:spacing w:val="-2"/>
                <w:sz w:val="18"/>
              </w:rPr>
              <w:t>friction.</w:t>
            </w:r>
          </w:p>
        </w:tc>
        <w:tc>
          <w:tcPr>
            <w:tcW w:w="1281" w:type="dxa"/>
          </w:tcPr>
          <w:p>
            <w:pPr>
              <w:pStyle w:val="TableParagraph"/>
              <w:ind w:left="103" w:right="84"/>
              <w:rPr>
                <w:sz w:val="18"/>
              </w:rPr>
            </w:pPr>
            <w:r>
              <w:rPr>
                <w:sz w:val="18"/>
              </w:rPr>
              <w:t>(Number of patients</w:t>
            </w:r>
            <w:r>
              <w:rPr>
                <w:spacing w:val="-4"/>
                <w:sz w:val="18"/>
              </w:rPr>
              <w:t> </w:t>
            </w:r>
            <w:r>
              <w:rPr>
                <w:sz w:val="18"/>
              </w:rPr>
              <w:t>who </w:t>
            </w:r>
            <w:r>
              <w:rPr>
                <w:spacing w:val="-2"/>
                <w:sz w:val="18"/>
              </w:rPr>
              <w:t>develop</w:t>
            </w:r>
            <w:r>
              <w:rPr>
                <w:sz w:val="18"/>
              </w:rPr>
              <w:t> </w:t>
            </w:r>
            <w:r>
              <w:rPr>
                <w:spacing w:val="-2"/>
                <w:sz w:val="18"/>
              </w:rPr>
              <w:t>new/worsenin</w:t>
            </w:r>
            <w:r>
              <w:rPr>
                <w:sz w:val="18"/>
              </w:rPr>
              <w:t> g of pressure </w:t>
            </w:r>
            <w:r>
              <w:rPr>
                <w:spacing w:val="-2"/>
                <w:sz w:val="18"/>
              </w:rPr>
              <w:t>ulcer/Total</w:t>
            </w:r>
            <w:r>
              <w:rPr>
                <w:sz w:val="18"/>
              </w:rPr>
              <w:t> number of </w:t>
            </w:r>
            <w:r>
              <w:rPr>
                <w:spacing w:val="-2"/>
                <w:sz w:val="18"/>
              </w:rPr>
              <w:t>inpatient</w:t>
            </w:r>
            <w:r>
              <w:rPr>
                <w:sz w:val="18"/>
              </w:rPr>
              <w:t> </w:t>
            </w:r>
            <w:r>
              <w:rPr>
                <w:spacing w:val="-2"/>
                <w:sz w:val="18"/>
              </w:rPr>
              <w:t>days)*1000</w:t>
            </w:r>
          </w:p>
        </w:tc>
        <w:tc>
          <w:tcPr>
            <w:tcW w:w="901" w:type="dxa"/>
          </w:tcPr>
          <w:p>
            <w:pPr>
              <w:pStyle w:val="TableParagraph"/>
              <w:spacing w:before="14"/>
              <w:rPr>
                <w:rFonts w:ascii="Franklin Gothic Medium"/>
                <w:sz w:val="18"/>
              </w:rPr>
            </w:pPr>
          </w:p>
          <w:p>
            <w:pPr>
              <w:pStyle w:val="TableParagraph"/>
              <w:ind w:left="107"/>
              <w:rPr>
                <w:sz w:val="18"/>
              </w:rPr>
            </w:pPr>
            <w:r>
              <w:rPr>
                <w:spacing w:val="-2"/>
                <w:sz w:val="18"/>
              </w:rPr>
              <w:t>/1000</w:t>
            </w:r>
          </w:p>
          <w:p>
            <w:pPr>
              <w:pStyle w:val="TableParagraph"/>
              <w:spacing w:before="1"/>
              <w:ind w:left="107" w:right="251"/>
              <w:rPr>
                <w:sz w:val="18"/>
              </w:rPr>
            </w:pPr>
            <w:r>
              <w:rPr>
                <w:spacing w:val="-2"/>
                <w:sz w:val="18"/>
              </w:rPr>
              <w:t>patient</w:t>
            </w:r>
            <w:r>
              <w:rPr>
                <w:sz w:val="18"/>
              </w:rPr>
              <w:t> </w:t>
            </w:r>
            <w:r>
              <w:rPr>
                <w:spacing w:val="-4"/>
                <w:sz w:val="18"/>
              </w:rPr>
              <w:t>days</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23"/>
              <w:rPr>
                <w:sz w:val="18"/>
              </w:rPr>
            </w:pPr>
            <w:r>
              <w:rPr>
                <w:sz w:val="18"/>
              </w:rPr>
              <w:t>The organisation shall</w:t>
            </w:r>
            <w:r>
              <w:rPr>
                <w:spacing w:val="-1"/>
                <w:sz w:val="18"/>
              </w:rPr>
              <w:t> </w:t>
            </w:r>
            <w:r>
              <w:rPr>
                <w:sz w:val="18"/>
              </w:rPr>
              <w:t>use The European and</w:t>
            </w:r>
            <w:r>
              <w:rPr>
                <w:spacing w:val="40"/>
                <w:sz w:val="18"/>
              </w:rPr>
              <w:t> </w:t>
            </w:r>
            <w:r>
              <w:rPr>
                <w:sz w:val="18"/>
              </w:rPr>
              <w:t>US National Pressure</w:t>
            </w:r>
            <w:r>
              <w:rPr>
                <w:spacing w:val="-11"/>
                <w:sz w:val="18"/>
              </w:rPr>
              <w:t> </w:t>
            </w:r>
            <w:r>
              <w:rPr>
                <w:sz w:val="18"/>
              </w:rPr>
              <w:t>Ulcer</w:t>
            </w:r>
            <w:r>
              <w:rPr>
                <w:spacing w:val="-10"/>
                <w:sz w:val="18"/>
              </w:rPr>
              <w:t> </w:t>
            </w:r>
            <w:r>
              <w:rPr>
                <w:sz w:val="18"/>
              </w:rPr>
              <w:t>Advisory</w:t>
            </w:r>
            <w:r>
              <w:rPr>
                <w:spacing w:val="-10"/>
                <w:sz w:val="18"/>
              </w:rPr>
              <w:t> </w:t>
            </w:r>
            <w:r>
              <w:rPr>
                <w:sz w:val="18"/>
              </w:rPr>
              <w:t>Panels (EPUAP and NPUAP) staging system to look for worsening pressure ulcers.</w:t>
            </w:r>
          </w:p>
          <w:p>
            <w:pPr>
              <w:pStyle w:val="TableParagraph"/>
              <w:spacing w:before="16"/>
              <w:rPr>
                <w:rFonts w:ascii="Franklin Gothic Medium"/>
                <w:sz w:val="18"/>
              </w:rPr>
            </w:pPr>
          </w:p>
          <w:p>
            <w:pPr>
              <w:pStyle w:val="TableParagraph"/>
              <w:ind w:left="101"/>
              <w:rPr>
                <w:sz w:val="18"/>
              </w:rPr>
            </w:pPr>
            <w:r>
              <w:rPr>
                <w:sz w:val="18"/>
              </w:rPr>
              <w:t>Sampling:</w:t>
            </w:r>
            <w:r>
              <w:rPr>
                <w:spacing w:val="-2"/>
                <w:sz w:val="18"/>
              </w:rPr>
              <w:t> </w:t>
            </w:r>
            <w:r>
              <w:rPr>
                <w:spacing w:val="-5"/>
                <w:sz w:val="18"/>
              </w:rPr>
              <w:t>No</w:t>
            </w:r>
          </w:p>
        </w:tc>
      </w:tr>
      <w:tr>
        <w:trPr>
          <w:trHeight w:val="4836" w:hRule="atLeast"/>
        </w:trPr>
        <w:tc>
          <w:tcPr>
            <w:tcW w:w="596"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9"/>
              <w:rPr>
                <w:rFonts w:ascii="Franklin Gothic Medium"/>
                <w:sz w:val="18"/>
              </w:rPr>
            </w:pPr>
          </w:p>
          <w:p>
            <w:pPr>
              <w:pStyle w:val="TableParagraph"/>
              <w:ind w:left="16" w:right="1"/>
              <w:jc w:val="center"/>
              <w:rPr>
                <w:sz w:val="18"/>
              </w:rPr>
            </w:pPr>
            <w:r>
              <w:rPr>
                <w:spacing w:val="-5"/>
                <w:sz w:val="18"/>
              </w:rPr>
              <w:t>14</w:t>
            </w:r>
          </w:p>
        </w:tc>
        <w:tc>
          <w:tcPr>
            <w:tcW w:w="1001" w:type="dxa"/>
          </w:tcPr>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rPr>
                <w:rFonts w:ascii="Franklin Gothic Medium"/>
                <w:sz w:val="18"/>
              </w:rPr>
            </w:pPr>
          </w:p>
          <w:p>
            <w:pPr>
              <w:pStyle w:val="TableParagraph"/>
              <w:spacing w:before="59"/>
              <w:rPr>
                <w:rFonts w:ascii="Franklin Gothic Medium"/>
                <w:sz w:val="18"/>
              </w:rPr>
            </w:pPr>
          </w:p>
          <w:p>
            <w:pPr>
              <w:pStyle w:val="TableParagraph"/>
              <w:ind w:left="109"/>
              <w:rPr>
                <w:b/>
                <w:sz w:val="18"/>
              </w:rPr>
            </w:pPr>
            <w:r>
              <w:rPr>
                <w:b/>
                <w:spacing w:val="-2"/>
                <w:sz w:val="18"/>
              </w:rPr>
              <w:t>PSQ.2.c</w:t>
            </w:r>
          </w:p>
        </w:tc>
        <w:tc>
          <w:tcPr>
            <w:tcW w:w="1066" w:type="dxa"/>
          </w:tcPr>
          <w:p>
            <w:pPr>
              <w:pStyle w:val="TableParagraph"/>
              <w:ind w:left="104" w:right="181"/>
              <w:rPr>
                <w:sz w:val="18"/>
              </w:rPr>
            </w:pPr>
            <w:r>
              <w:rPr>
                <w:spacing w:val="-2"/>
                <w:sz w:val="18"/>
              </w:rPr>
              <w:t>Complianc</w:t>
            </w:r>
            <w:r>
              <w:rPr>
                <w:sz w:val="18"/>
              </w:rPr>
              <w:t> e to hand </w:t>
            </w:r>
            <w:r>
              <w:rPr>
                <w:spacing w:val="-2"/>
                <w:sz w:val="18"/>
              </w:rPr>
              <w:t>hygiene</w:t>
            </w:r>
            <w:r>
              <w:rPr>
                <w:sz w:val="18"/>
              </w:rPr>
              <w:t> </w:t>
            </w:r>
            <w:r>
              <w:rPr>
                <w:spacing w:val="-2"/>
                <w:sz w:val="18"/>
              </w:rPr>
              <w:t>practices</w:t>
            </w:r>
          </w:p>
        </w:tc>
        <w:tc>
          <w:tcPr>
            <w:tcW w:w="1306" w:type="dxa"/>
          </w:tcPr>
          <w:p>
            <w:pPr>
              <w:pStyle w:val="TableParagraph"/>
              <w:rPr>
                <w:rFonts w:ascii="Times New Roman"/>
                <w:sz w:val="18"/>
              </w:rPr>
            </w:pPr>
          </w:p>
        </w:tc>
        <w:tc>
          <w:tcPr>
            <w:tcW w:w="1281" w:type="dxa"/>
          </w:tcPr>
          <w:p>
            <w:pPr>
              <w:pStyle w:val="TableParagraph"/>
              <w:ind w:left="103" w:right="113"/>
              <w:rPr>
                <w:sz w:val="18"/>
              </w:rPr>
            </w:pPr>
            <w:r>
              <w:rPr>
                <w:sz w:val="18"/>
              </w:rPr>
              <w:t>(Total</w:t>
            </w:r>
            <w:r>
              <w:rPr>
                <w:spacing w:val="-11"/>
                <w:sz w:val="18"/>
              </w:rPr>
              <w:t> </w:t>
            </w:r>
            <w:r>
              <w:rPr>
                <w:sz w:val="18"/>
              </w:rPr>
              <w:t>number of</w:t>
            </w:r>
            <w:r>
              <w:rPr>
                <w:spacing w:val="-2"/>
                <w:sz w:val="18"/>
              </w:rPr>
              <w:t> </w:t>
            </w:r>
            <w:r>
              <w:rPr>
                <w:sz w:val="18"/>
              </w:rPr>
              <w:t>actions </w:t>
            </w:r>
            <w:r>
              <w:rPr>
                <w:spacing w:val="-2"/>
                <w:sz w:val="18"/>
              </w:rPr>
              <w:t>performed/To</w:t>
            </w:r>
            <w:r>
              <w:rPr>
                <w:sz w:val="18"/>
              </w:rPr>
              <w:t> tal number of hand hygiene </w:t>
            </w:r>
            <w:r>
              <w:rPr>
                <w:spacing w:val="-2"/>
                <w:sz w:val="18"/>
              </w:rPr>
              <w:t>opportunities)</w:t>
            </w:r>
          </w:p>
          <w:p>
            <w:pPr>
              <w:pStyle w:val="TableParagraph"/>
              <w:spacing w:before="1"/>
              <w:ind w:left="103"/>
              <w:rPr>
                <w:sz w:val="18"/>
              </w:rPr>
            </w:pPr>
            <w:r>
              <w:rPr>
                <w:spacing w:val="-4"/>
                <w:sz w:val="18"/>
              </w:rPr>
              <w:t>*100</w:t>
            </w:r>
          </w:p>
        </w:tc>
        <w:tc>
          <w:tcPr>
            <w:tcW w:w="901" w:type="dxa"/>
          </w:tcPr>
          <w:p>
            <w:pPr>
              <w:pStyle w:val="TableParagraph"/>
              <w:ind w:left="107" w:right="5"/>
              <w:rPr>
                <w:sz w:val="18"/>
              </w:rPr>
            </w:pPr>
            <w:r>
              <w:rPr>
                <w:spacing w:val="-2"/>
                <w:sz w:val="18"/>
              </w:rPr>
              <w:t>Percenta</w:t>
            </w:r>
            <w:r>
              <w:rPr>
                <w:sz w:val="18"/>
              </w:rPr>
              <w:t> </w:t>
            </w:r>
            <w:r>
              <w:rPr>
                <w:spacing w:val="-6"/>
                <w:sz w:val="18"/>
              </w:rPr>
              <w:t>ge</w:t>
            </w:r>
          </w:p>
        </w:tc>
        <w:tc>
          <w:tcPr>
            <w:tcW w:w="1366" w:type="dxa"/>
          </w:tcPr>
          <w:p>
            <w:pPr>
              <w:pStyle w:val="TableParagraph"/>
              <w:spacing w:line="218" w:lineRule="exact"/>
              <w:ind w:left="101"/>
              <w:rPr>
                <w:sz w:val="18"/>
              </w:rPr>
            </w:pPr>
            <w:r>
              <w:rPr>
                <w:spacing w:val="-2"/>
                <w:sz w:val="18"/>
              </w:rPr>
              <w:t>Monthly</w:t>
            </w:r>
          </w:p>
        </w:tc>
        <w:tc>
          <w:tcPr>
            <w:tcW w:w="2732" w:type="dxa"/>
          </w:tcPr>
          <w:p>
            <w:pPr>
              <w:pStyle w:val="TableParagraph"/>
              <w:ind w:left="101" w:right="123"/>
              <w:rPr>
                <w:sz w:val="18"/>
              </w:rPr>
            </w:pPr>
            <w:r>
              <w:rPr>
                <w:sz w:val="18"/>
              </w:rPr>
              <w:t>Observation involves directly watching</w:t>
            </w:r>
            <w:r>
              <w:rPr>
                <w:spacing w:val="-9"/>
                <w:sz w:val="18"/>
              </w:rPr>
              <w:t> </w:t>
            </w:r>
            <w:r>
              <w:rPr>
                <w:sz w:val="18"/>
              </w:rPr>
              <w:t>and</w:t>
            </w:r>
            <w:r>
              <w:rPr>
                <w:spacing w:val="24"/>
                <w:sz w:val="18"/>
              </w:rPr>
              <w:t> </w:t>
            </w:r>
            <w:r>
              <w:rPr>
                <w:sz w:val="18"/>
              </w:rPr>
              <w:t>recording</w:t>
            </w:r>
            <w:r>
              <w:rPr>
                <w:spacing w:val="-9"/>
                <w:sz w:val="18"/>
              </w:rPr>
              <w:t> </w:t>
            </w:r>
            <w:r>
              <w:rPr>
                <w:sz w:val="18"/>
              </w:rPr>
              <w:t>the</w:t>
            </w:r>
            <w:r>
              <w:rPr>
                <w:spacing w:val="-9"/>
                <w:sz w:val="18"/>
              </w:rPr>
              <w:t> </w:t>
            </w:r>
            <w:r>
              <w:rPr>
                <w:sz w:val="18"/>
              </w:rPr>
              <w:t>hand hygiene behavior of healthcare workers and the physical environment.</w:t>
            </w:r>
            <w:r>
              <w:rPr>
                <w:spacing w:val="-9"/>
                <w:sz w:val="18"/>
              </w:rPr>
              <w:t> </w:t>
            </w:r>
            <w:r>
              <w:rPr>
                <w:sz w:val="18"/>
              </w:rPr>
              <w:t>A</w:t>
            </w:r>
            <w:r>
              <w:rPr>
                <w:spacing w:val="-8"/>
                <w:sz w:val="18"/>
              </w:rPr>
              <w:t> </w:t>
            </w:r>
            <w:r>
              <w:rPr>
                <w:sz w:val="18"/>
              </w:rPr>
              <w:t>good</w:t>
            </w:r>
            <w:r>
              <w:rPr>
                <w:spacing w:val="-7"/>
                <w:sz w:val="18"/>
              </w:rPr>
              <w:t> </w:t>
            </w:r>
            <w:r>
              <w:rPr>
                <w:sz w:val="18"/>
              </w:rPr>
              <w:t>reference</w:t>
            </w:r>
            <w:r>
              <w:rPr>
                <w:spacing w:val="-7"/>
                <w:sz w:val="18"/>
              </w:rPr>
              <w:t> </w:t>
            </w:r>
            <w:r>
              <w:rPr>
                <w:sz w:val="18"/>
              </w:rPr>
              <w:t>is the WHO hand hygiene compliance monitoring tool.</w:t>
            </w:r>
          </w:p>
          <w:p>
            <w:pPr>
              <w:pStyle w:val="TableParagraph"/>
              <w:spacing w:before="1"/>
              <w:ind w:left="101"/>
              <w:rPr>
                <w:sz w:val="18"/>
              </w:rPr>
            </w:pPr>
            <w:r>
              <w:rPr>
                <w:sz w:val="18"/>
              </w:rPr>
              <w:t>Please</w:t>
            </w:r>
            <w:r>
              <w:rPr>
                <w:spacing w:val="-2"/>
                <w:sz w:val="18"/>
              </w:rPr>
              <w:t> </w:t>
            </w:r>
            <w:r>
              <w:rPr>
                <w:sz w:val="18"/>
              </w:rPr>
              <w:t>refer: </w:t>
            </w:r>
            <w:hyperlink r:id="rId6">
              <w:r>
                <w:rPr>
                  <w:spacing w:val="-2"/>
                  <w:sz w:val="18"/>
                </w:rPr>
                <w:t>http://www.who.int/gpsc/5may/t</w:t>
              </w:r>
              <w:r>
                <w:rPr>
                  <w:sz w:val="18"/>
                </w:rPr>
                <w:t> </w:t>
              </w:r>
              <w:r>
                <w:rPr>
                  <w:spacing w:val="-2"/>
                  <w:sz w:val="18"/>
                </w:rPr>
                <w:t>ools/en/</w:t>
              </w:r>
            </w:hyperlink>
          </w:p>
          <w:p>
            <w:pPr>
              <w:pStyle w:val="TableParagraph"/>
              <w:spacing w:before="12"/>
              <w:rPr>
                <w:rFonts w:ascii="Franklin Gothic Medium"/>
                <w:sz w:val="18"/>
              </w:rPr>
            </w:pPr>
          </w:p>
          <w:p>
            <w:pPr>
              <w:pStyle w:val="TableParagraph"/>
              <w:ind w:left="101" w:right="123"/>
              <w:rPr>
                <w:sz w:val="18"/>
              </w:rPr>
            </w:pPr>
            <w:hyperlink r:id="rId7">
              <w:r>
                <w:rPr>
                  <w:spacing w:val="-2"/>
                  <w:sz w:val="18"/>
                </w:rPr>
                <w:t>http://www.who.int/entity/gpsc/</w:t>
              </w:r>
              <w:r>
                <w:rPr>
                  <w:sz w:val="18"/>
                </w:rPr>
                <w:t> </w:t>
              </w:r>
              <w:r>
                <w:rPr>
                  <w:spacing w:val="-2"/>
                  <w:sz w:val="18"/>
                </w:rPr>
                <w:t>5may/Observa</w:t>
              </w:r>
              <w:r>
                <w:rPr>
                  <w:sz w:val="18"/>
                </w:rPr>
                <w:t> </w:t>
              </w:r>
              <w:r>
                <w:rPr>
                  <w:spacing w:val="-2"/>
                  <w:sz w:val="18"/>
                </w:rPr>
                <w:t>tion_Form.doc?ua=1</w:t>
              </w:r>
            </w:hyperlink>
          </w:p>
          <w:p>
            <w:pPr>
              <w:pStyle w:val="TableParagraph"/>
              <w:spacing w:before="17"/>
              <w:rPr>
                <w:rFonts w:ascii="Franklin Gothic Medium"/>
                <w:sz w:val="18"/>
              </w:rPr>
            </w:pPr>
          </w:p>
          <w:p>
            <w:pPr>
              <w:pStyle w:val="TableParagraph"/>
              <w:ind w:left="101"/>
              <w:rPr>
                <w:sz w:val="18"/>
              </w:rPr>
            </w:pPr>
            <w:r>
              <w:rPr>
                <w:sz w:val="18"/>
              </w:rPr>
              <w:t>Sampling:</w:t>
            </w:r>
            <w:r>
              <w:rPr>
                <w:spacing w:val="-2"/>
                <w:sz w:val="18"/>
              </w:rPr>
              <w:t> </w:t>
            </w:r>
            <w:r>
              <w:rPr>
                <w:spacing w:val="-5"/>
                <w:sz w:val="18"/>
              </w:rPr>
              <w:t>Yes</w:t>
            </w:r>
          </w:p>
          <w:p>
            <w:pPr>
              <w:pStyle w:val="TableParagraph"/>
              <w:ind w:left="101" w:right="102"/>
              <w:rPr>
                <w:sz w:val="18"/>
              </w:rPr>
            </w:pPr>
            <w:r>
              <w:rPr>
                <w:sz w:val="18"/>
              </w:rPr>
              <w:t>Sampling methodology: Stratified random. However, the organisation should try to ensure that</w:t>
            </w:r>
            <w:r>
              <w:rPr>
                <w:spacing w:val="-3"/>
                <w:sz w:val="18"/>
              </w:rPr>
              <w:t> </w:t>
            </w:r>
            <w:r>
              <w:rPr>
                <w:sz w:val="18"/>
              </w:rPr>
              <w:t>all</w:t>
            </w:r>
            <w:r>
              <w:rPr>
                <w:spacing w:val="-5"/>
                <w:sz w:val="18"/>
              </w:rPr>
              <w:t> </w:t>
            </w:r>
            <w:r>
              <w:rPr>
                <w:sz w:val="18"/>
              </w:rPr>
              <w:t>staff</w:t>
            </w:r>
            <w:r>
              <w:rPr>
                <w:spacing w:val="-3"/>
                <w:sz w:val="18"/>
              </w:rPr>
              <w:t> </w:t>
            </w:r>
            <w:r>
              <w:rPr>
                <w:sz w:val="18"/>
              </w:rPr>
              <w:t>relevant</w:t>
            </w:r>
            <w:r>
              <w:rPr>
                <w:spacing w:val="-2"/>
                <w:sz w:val="18"/>
              </w:rPr>
              <w:t> </w:t>
            </w:r>
            <w:r>
              <w:rPr>
                <w:sz w:val="18"/>
              </w:rPr>
              <w:t>categories</w:t>
            </w:r>
            <w:r>
              <w:rPr>
                <w:spacing w:val="-2"/>
                <w:sz w:val="18"/>
              </w:rPr>
              <w:t> </w:t>
            </w:r>
            <w:r>
              <w:rPr>
                <w:spacing w:val="-5"/>
                <w:sz w:val="18"/>
              </w:rPr>
              <w:t>of</w:t>
            </w:r>
          </w:p>
          <w:p>
            <w:pPr>
              <w:pStyle w:val="TableParagraph"/>
              <w:spacing w:line="220" w:lineRule="atLeast"/>
              <w:ind w:left="101"/>
              <w:rPr>
                <w:sz w:val="18"/>
              </w:rPr>
            </w:pPr>
            <w:r>
              <w:rPr>
                <w:sz w:val="18"/>
              </w:rPr>
              <w:t>staff</w:t>
            </w:r>
            <w:r>
              <w:rPr>
                <w:spacing w:val="-7"/>
                <w:sz w:val="18"/>
              </w:rPr>
              <w:t> </w:t>
            </w:r>
            <w:r>
              <w:rPr>
                <w:sz w:val="18"/>
              </w:rPr>
              <w:t>are</w:t>
            </w:r>
            <w:r>
              <w:rPr>
                <w:spacing w:val="-6"/>
                <w:sz w:val="18"/>
              </w:rPr>
              <w:t> </w:t>
            </w:r>
            <w:r>
              <w:rPr>
                <w:sz w:val="18"/>
              </w:rPr>
              <w:t>covered</w:t>
            </w:r>
            <w:r>
              <w:rPr>
                <w:spacing w:val="-7"/>
                <w:sz w:val="18"/>
              </w:rPr>
              <w:t> </w:t>
            </w:r>
            <w:r>
              <w:rPr>
                <w:sz w:val="18"/>
              </w:rPr>
              <w:t>at</w:t>
            </w:r>
            <w:r>
              <w:rPr>
                <w:spacing w:val="-7"/>
                <w:sz w:val="18"/>
              </w:rPr>
              <w:t> </w:t>
            </w:r>
            <w:r>
              <w:rPr>
                <w:sz w:val="18"/>
              </w:rPr>
              <w:t>least</w:t>
            </w:r>
            <w:r>
              <w:rPr>
                <w:spacing w:val="-8"/>
                <w:sz w:val="18"/>
              </w:rPr>
              <w:t> </w:t>
            </w:r>
            <w:r>
              <w:rPr>
                <w:sz w:val="18"/>
              </w:rPr>
              <w:t>once</w:t>
            </w:r>
            <w:r>
              <w:rPr>
                <w:spacing w:val="-3"/>
                <w:sz w:val="18"/>
              </w:rPr>
              <w:t> </w:t>
            </w:r>
            <w:r>
              <w:rPr>
                <w:sz w:val="18"/>
              </w:rPr>
              <w:t>in</w:t>
            </w:r>
            <w:r>
              <w:rPr>
                <w:spacing w:val="-7"/>
                <w:sz w:val="18"/>
              </w:rPr>
              <w:t> </w:t>
            </w:r>
            <w:r>
              <w:rPr>
                <w:sz w:val="18"/>
              </w:rPr>
              <w:t>a </w:t>
            </w:r>
            <w:r>
              <w:rPr>
                <w:spacing w:val="-2"/>
                <w:sz w:val="18"/>
              </w:rPr>
              <w:t>quarter.</w:t>
            </w:r>
          </w:p>
        </w:tc>
      </w:tr>
    </w:tbl>
    <w:p>
      <w:pPr>
        <w:spacing w:line="240" w:lineRule="auto" w:before="203"/>
        <w:ind w:left="360" w:right="497" w:firstLine="0"/>
        <w:jc w:val="both"/>
        <w:rPr>
          <w:rFonts w:ascii="Trebuchet MS"/>
          <w:sz w:val="20"/>
        </w:rPr>
      </w:pPr>
      <w:r>
        <w:rPr>
          <w:rFonts w:ascii="Trebuchet MS"/>
          <w:b/>
          <w:w w:val="90"/>
          <w:sz w:val="20"/>
        </w:rPr>
        <w:t>*Note: </w:t>
      </w:r>
      <w:r>
        <w:rPr>
          <w:rFonts w:ascii="Trebuchet MS"/>
          <w:w w:val="90"/>
          <w:sz w:val="20"/>
        </w:rPr>
        <w:t>The hospital is required to adhere to the prescribed NABH Quality Indicators. However, the hospital may, in addition</w:t>
      </w:r>
      <w:r>
        <w:rPr>
          <w:rFonts w:ascii="Trebuchet MS"/>
          <w:spacing w:val="-7"/>
          <w:w w:val="90"/>
          <w:sz w:val="20"/>
        </w:rPr>
        <w:t> </w:t>
      </w:r>
      <w:r>
        <w:rPr>
          <w:rFonts w:ascii="Trebuchet MS"/>
          <w:w w:val="90"/>
          <w:sz w:val="20"/>
        </w:rPr>
        <w:t>to</w:t>
      </w:r>
      <w:r>
        <w:rPr>
          <w:rFonts w:ascii="Trebuchet MS"/>
          <w:spacing w:val="-3"/>
          <w:w w:val="90"/>
          <w:sz w:val="20"/>
        </w:rPr>
        <w:t> </w:t>
      </w:r>
      <w:r>
        <w:rPr>
          <w:rFonts w:ascii="Trebuchet MS"/>
          <w:w w:val="90"/>
          <w:sz w:val="20"/>
        </w:rPr>
        <w:t>the</w:t>
      </w:r>
      <w:r>
        <w:rPr>
          <w:rFonts w:ascii="Trebuchet MS"/>
          <w:spacing w:val="-7"/>
          <w:w w:val="90"/>
          <w:sz w:val="20"/>
        </w:rPr>
        <w:t> </w:t>
      </w:r>
      <w:r>
        <w:rPr>
          <w:rFonts w:ascii="Trebuchet MS"/>
          <w:w w:val="90"/>
          <w:sz w:val="20"/>
        </w:rPr>
        <w:t>mandatory</w:t>
      </w:r>
      <w:r>
        <w:rPr>
          <w:rFonts w:ascii="Trebuchet MS"/>
          <w:spacing w:val="-5"/>
          <w:w w:val="90"/>
          <w:sz w:val="20"/>
        </w:rPr>
        <w:t> </w:t>
      </w:r>
      <w:r>
        <w:rPr>
          <w:rFonts w:ascii="Trebuchet MS"/>
          <w:w w:val="90"/>
          <w:sz w:val="20"/>
        </w:rPr>
        <w:t>indicators,</w:t>
      </w:r>
      <w:r>
        <w:rPr>
          <w:rFonts w:ascii="Trebuchet MS"/>
          <w:spacing w:val="-6"/>
          <w:w w:val="90"/>
          <w:sz w:val="20"/>
        </w:rPr>
        <w:t> </w:t>
      </w:r>
      <w:r>
        <w:rPr>
          <w:rFonts w:ascii="Trebuchet MS"/>
          <w:w w:val="90"/>
          <w:sz w:val="20"/>
        </w:rPr>
        <w:t>incorporate</w:t>
      </w:r>
      <w:r>
        <w:rPr>
          <w:rFonts w:ascii="Trebuchet MS"/>
          <w:spacing w:val="-7"/>
          <w:w w:val="90"/>
          <w:sz w:val="20"/>
        </w:rPr>
        <w:t> </w:t>
      </w:r>
      <w:r>
        <w:rPr>
          <w:rFonts w:ascii="Trebuchet MS"/>
          <w:w w:val="90"/>
          <w:sz w:val="20"/>
        </w:rPr>
        <w:t>supplementary</w:t>
      </w:r>
      <w:r>
        <w:rPr>
          <w:rFonts w:ascii="Trebuchet MS"/>
          <w:spacing w:val="-5"/>
          <w:w w:val="90"/>
          <w:sz w:val="20"/>
        </w:rPr>
        <w:t> </w:t>
      </w:r>
      <w:r>
        <w:rPr>
          <w:rFonts w:ascii="Trebuchet MS"/>
          <w:w w:val="90"/>
          <w:sz w:val="20"/>
        </w:rPr>
        <w:t>quality</w:t>
      </w:r>
      <w:r>
        <w:rPr>
          <w:rFonts w:ascii="Trebuchet MS"/>
          <w:spacing w:val="-5"/>
          <w:w w:val="90"/>
          <w:sz w:val="20"/>
        </w:rPr>
        <w:t> </w:t>
      </w:r>
      <w:r>
        <w:rPr>
          <w:rFonts w:ascii="Trebuchet MS"/>
          <w:w w:val="90"/>
          <w:sz w:val="20"/>
        </w:rPr>
        <w:t>indicators</w:t>
      </w:r>
      <w:r>
        <w:rPr>
          <w:rFonts w:ascii="Trebuchet MS"/>
          <w:spacing w:val="-8"/>
          <w:w w:val="90"/>
          <w:sz w:val="20"/>
        </w:rPr>
        <w:t> </w:t>
      </w:r>
      <w:r>
        <w:rPr>
          <w:rFonts w:ascii="Trebuchet MS"/>
          <w:w w:val="90"/>
          <w:sz w:val="20"/>
        </w:rPr>
        <w:t>as</w:t>
      </w:r>
      <w:r>
        <w:rPr>
          <w:rFonts w:ascii="Trebuchet MS"/>
          <w:spacing w:val="-8"/>
          <w:w w:val="90"/>
          <w:sz w:val="20"/>
        </w:rPr>
        <w:t> </w:t>
      </w:r>
      <w:r>
        <w:rPr>
          <w:rFonts w:ascii="Trebuchet MS"/>
          <w:w w:val="90"/>
          <w:sz w:val="20"/>
        </w:rPr>
        <w:t>deemed</w:t>
      </w:r>
      <w:r>
        <w:rPr>
          <w:rFonts w:ascii="Trebuchet MS"/>
          <w:spacing w:val="-8"/>
          <w:w w:val="90"/>
          <w:sz w:val="20"/>
        </w:rPr>
        <w:t> </w:t>
      </w:r>
      <w:r>
        <w:rPr>
          <w:rFonts w:ascii="Trebuchet MS"/>
          <w:w w:val="90"/>
          <w:sz w:val="20"/>
        </w:rPr>
        <w:t>appropriate</w:t>
      </w:r>
      <w:r>
        <w:rPr>
          <w:rFonts w:ascii="Trebuchet MS"/>
          <w:spacing w:val="-4"/>
          <w:w w:val="90"/>
          <w:sz w:val="20"/>
        </w:rPr>
        <w:t> </w:t>
      </w:r>
      <w:r>
        <w:rPr>
          <w:rFonts w:ascii="Trebuchet MS"/>
          <w:w w:val="90"/>
          <w:sz w:val="20"/>
        </w:rPr>
        <w:t>to</w:t>
      </w:r>
      <w:r>
        <w:rPr>
          <w:rFonts w:ascii="Trebuchet MS"/>
          <w:spacing w:val="-7"/>
          <w:w w:val="90"/>
          <w:sz w:val="20"/>
        </w:rPr>
        <w:t> </w:t>
      </w:r>
      <w:r>
        <w:rPr>
          <w:rFonts w:ascii="Trebuchet MS"/>
          <w:w w:val="90"/>
          <w:sz w:val="20"/>
        </w:rPr>
        <w:t>enhance </w:t>
      </w:r>
      <w:r>
        <w:rPr>
          <w:rFonts w:ascii="Trebuchet MS"/>
          <w:spacing w:val="-4"/>
          <w:sz w:val="20"/>
        </w:rPr>
        <w:t>its</w:t>
      </w:r>
      <w:r>
        <w:rPr>
          <w:rFonts w:ascii="Trebuchet MS"/>
          <w:spacing w:val="-12"/>
          <w:sz w:val="20"/>
        </w:rPr>
        <w:t> </w:t>
      </w:r>
      <w:r>
        <w:rPr>
          <w:rFonts w:ascii="Trebuchet MS"/>
          <w:spacing w:val="-4"/>
          <w:sz w:val="20"/>
        </w:rPr>
        <w:t>quality</w:t>
      </w:r>
      <w:r>
        <w:rPr>
          <w:rFonts w:ascii="Trebuchet MS"/>
          <w:spacing w:val="-11"/>
          <w:sz w:val="20"/>
        </w:rPr>
        <w:t> </w:t>
      </w:r>
      <w:r>
        <w:rPr>
          <w:rFonts w:ascii="Trebuchet MS"/>
          <w:spacing w:val="-4"/>
          <w:sz w:val="20"/>
        </w:rPr>
        <w:t>monitoring</w:t>
      </w:r>
      <w:r>
        <w:rPr>
          <w:rFonts w:ascii="Trebuchet MS"/>
          <w:spacing w:val="-11"/>
          <w:sz w:val="20"/>
        </w:rPr>
        <w:t> </w:t>
      </w:r>
      <w:r>
        <w:rPr>
          <w:rFonts w:ascii="Trebuchet MS"/>
          <w:spacing w:val="-4"/>
          <w:sz w:val="20"/>
        </w:rPr>
        <w:t>framework.</w:t>
      </w:r>
    </w:p>
    <w:p>
      <w:pPr>
        <w:spacing w:after="0" w:line="240" w:lineRule="auto"/>
        <w:jc w:val="both"/>
        <w:rPr>
          <w:rFonts w:ascii="Trebuchet MS"/>
          <w:sz w:val="20"/>
        </w:rPr>
        <w:sectPr>
          <w:type w:val="continuous"/>
          <w:pgSz w:w="10800" w:h="15600"/>
          <w:pgMar w:header="232" w:footer="0" w:top="1040" w:bottom="280" w:left="360" w:right="0"/>
        </w:sectPr>
      </w:pPr>
    </w:p>
    <w:p>
      <w:pPr>
        <w:pStyle w:val="Heading1"/>
        <w:spacing w:line="253" w:lineRule="exact"/>
      </w:pPr>
      <w:r>
        <w:rPr>
          <w:w w:val="70"/>
        </w:rPr>
        <w:t>How</w:t>
      </w:r>
      <w:r>
        <w:rPr>
          <w:spacing w:val="8"/>
        </w:rPr>
        <w:t> </w:t>
      </w:r>
      <w:r>
        <w:rPr>
          <w:w w:val="70"/>
        </w:rPr>
        <w:t>to</w:t>
      </w:r>
      <w:r>
        <w:rPr>
          <w:spacing w:val="17"/>
        </w:rPr>
        <w:t> </w:t>
      </w:r>
      <w:r>
        <w:rPr>
          <w:w w:val="70"/>
        </w:rPr>
        <w:t>capture</w:t>
      </w:r>
      <w:r>
        <w:rPr>
          <w:spacing w:val="10"/>
        </w:rPr>
        <w:t> </w:t>
      </w:r>
      <w:r>
        <w:rPr>
          <w:w w:val="70"/>
        </w:rPr>
        <w:t>and</w:t>
      </w:r>
      <w:r>
        <w:rPr>
          <w:spacing w:val="18"/>
        </w:rPr>
        <w:t> </w:t>
      </w:r>
      <w:r>
        <w:rPr>
          <w:w w:val="70"/>
        </w:rPr>
        <w:t>monitor</w:t>
      </w:r>
      <w:r>
        <w:rPr>
          <w:spacing w:val="6"/>
        </w:rPr>
        <w:t> </w:t>
      </w:r>
      <w:r>
        <w:rPr>
          <w:w w:val="70"/>
        </w:rPr>
        <w:t>quality</w:t>
      </w:r>
      <w:r>
        <w:rPr>
          <w:spacing w:val="5"/>
        </w:rPr>
        <w:t> </w:t>
      </w:r>
      <w:r>
        <w:rPr>
          <w:w w:val="70"/>
        </w:rPr>
        <w:t>indicators</w:t>
      </w:r>
      <w:r>
        <w:rPr>
          <w:spacing w:val="17"/>
        </w:rPr>
        <w:t> </w:t>
      </w:r>
      <w:r>
        <w:rPr>
          <w:w w:val="70"/>
        </w:rPr>
        <w:t>(Sample</w:t>
      </w:r>
      <w:r>
        <w:rPr>
          <w:spacing w:val="10"/>
        </w:rPr>
        <w:t> </w:t>
      </w:r>
      <w:r>
        <w:rPr>
          <w:w w:val="70"/>
        </w:rPr>
        <w:t>for</w:t>
      </w:r>
      <w:r>
        <w:rPr>
          <w:spacing w:val="12"/>
        </w:rPr>
        <w:t> </w:t>
      </w:r>
      <w:r>
        <w:rPr>
          <w:spacing w:val="-2"/>
          <w:w w:val="70"/>
        </w:rPr>
        <w:t>reference)</w:t>
      </w:r>
    </w:p>
    <w:p>
      <w:pPr>
        <w:pStyle w:val="BodyText"/>
        <w:spacing w:before="164"/>
        <w:rPr>
          <w:b/>
        </w:rPr>
      </w:pPr>
    </w:p>
    <w:p>
      <w:pPr>
        <w:pStyle w:val="BodyText"/>
        <w:ind w:left="565"/>
      </w:pPr>
      <w:r>
        <w:rPr>
          <w:w w:val="65"/>
        </w:rPr>
        <w:t>Name</w:t>
      </w:r>
      <w:r>
        <w:rPr>
          <w:spacing w:val="26"/>
        </w:rPr>
        <w:t> </w:t>
      </w:r>
      <w:r>
        <w:rPr>
          <w:w w:val="65"/>
        </w:rPr>
        <w:t>of</w:t>
      </w:r>
      <w:r>
        <w:rPr>
          <w:spacing w:val="-2"/>
        </w:rPr>
        <w:t> </w:t>
      </w:r>
      <w:r>
        <w:rPr>
          <w:w w:val="65"/>
        </w:rPr>
        <w:t>the</w:t>
      </w:r>
      <w:r>
        <w:rPr>
          <w:spacing w:val="26"/>
        </w:rPr>
        <w:t> </w:t>
      </w:r>
      <w:r>
        <w:rPr>
          <w:w w:val="65"/>
        </w:rPr>
        <w:t>Quality</w:t>
      </w:r>
      <w:r>
        <w:rPr>
          <w:spacing w:val="8"/>
        </w:rPr>
        <w:t> </w:t>
      </w:r>
      <w:r>
        <w:rPr>
          <w:w w:val="65"/>
        </w:rPr>
        <w:t>Indicator</w:t>
      </w:r>
      <w:r>
        <w:rPr>
          <w:spacing w:val="16"/>
        </w:rPr>
        <w:t> </w:t>
      </w:r>
      <w:r>
        <w:rPr>
          <w:w w:val="65"/>
        </w:rPr>
        <w:t>(e.g.,</w:t>
      </w:r>
      <w:r>
        <w:rPr>
          <w:spacing w:val="12"/>
        </w:rPr>
        <w:t> </w:t>
      </w:r>
      <w:r>
        <w:rPr>
          <w:w w:val="65"/>
        </w:rPr>
        <w:t>Patient</w:t>
      </w:r>
      <w:r>
        <w:rPr>
          <w:spacing w:val="26"/>
        </w:rPr>
        <w:t> </w:t>
      </w:r>
      <w:r>
        <w:rPr>
          <w:spacing w:val="-2"/>
          <w:w w:val="65"/>
        </w:rPr>
        <w:t>Fall)</w:t>
      </w:r>
    </w:p>
    <w:p>
      <w:pPr>
        <w:pStyle w:val="BodyText"/>
      </w:pPr>
    </w:p>
    <w:p>
      <w:pPr>
        <w:pStyle w:val="BodyText"/>
        <w:spacing w:before="89"/>
      </w:pPr>
    </w:p>
    <w:p>
      <w:pPr>
        <w:pStyle w:val="BodyText"/>
        <w:ind w:left="565"/>
      </w:pPr>
      <w:r>
        <w:rPr>
          <w:spacing w:val="-2"/>
          <w:w w:val="85"/>
        </w:rPr>
        <w:t>Formula:</w:t>
      </w:r>
    </w:p>
    <w:p>
      <w:pPr>
        <w:pStyle w:val="BodyText"/>
        <w:spacing w:before="89"/>
      </w:pPr>
    </w:p>
    <w:p>
      <w:pPr>
        <w:pStyle w:val="BodyText"/>
        <w:spacing w:line="255" w:lineRule="exact"/>
        <w:ind w:left="2511"/>
      </w:pPr>
      <w:r>
        <w:rPr>
          <w:w w:val="75"/>
        </w:rPr>
        <w:t>Number</w:t>
      </w:r>
      <w:r>
        <w:rPr>
          <w:spacing w:val="-13"/>
        </w:rPr>
        <w:t> </w:t>
      </w:r>
      <w:r>
        <w:rPr>
          <w:w w:val="75"/>
        </w:rPr>
        <w:t>of</w:t>
      </w:r>
      <w:r>
        <w:rPr>
          <w:spacing w:val="-7"/>
        </w:rPr>
        <w:t> </w:t>
      </w:r>
      <w:r>
        <w:rPr>
          <w:w w:val="75"/>
        </w:rPr>
        <w:t>patient</w:t>
      </w:r>
      <w:r>
        <w:rPr>
          <w:spacing w:val="-10"/>
          <w:w w:val="75"/>
        </w:rPr>
        <w:t> </w:t>
      </w:r>
      <w:r>
        <w:rPr>
          <w:spacing w:val="-4"/>
          <w:w w:val="75"/>
        </w:rPr>
        <w:t>Falls</w:t>
      </w:r>
    </w:p>
    <w:p>
      <w:pPr>
        <w:pStyle w:val="BodyText"/>
        <w:tabs>
          <w:tab w:pos="6322" w:val="left" w:leader="hyphen"/>
        </w:tabs>
        <w:spacing w:line="255" w:lineRule="exact"/>
        <w:ind w:left="2986"/>
      </w:pPr>
      <w:r>
        <w:rPr>
          <w:w w:val="95"/>
        </w:rPr>
        <w:t>-</w:t>
      </w:r>
      <w:r>
        <w:rPr/>
        <w:tab/>
      </w:r>
      <w:r>
        <w:rPr>
          <w:spacing w:val="-4"/>
          <w:w w:val="95"/>
        </w:rPr>
        <w:t>1000</w:t>
      </w:r>
    </w:p>
    <w:p>
      <w:pPr>
        <w:pStyle w:val="BodyText"/>
        <w:spacing w:before="15"/>
        <w:ind w:left="2511"/>
      </w:pPr>
      <w:r>
        <w:rPr>
          <w:w w:val="70"/>
        </w:rPr>
        <w:t>Total</w:t>
      </w:r>
      <w:r>
        <w:rPr>
          <w:spacing w:val="-16"/>
        </w:rPr>
        <w:t> </w:t>
      </w:r>
      <w:r>
        <w:rPr>
          <w:w w:val="70"/>
        </w:rPr>
        <w:t>in-Patient</w:t>
      </w:r>
      <w:r>
        <w:rPr>
          <w:spacing w:val="8"/>
        </w:rPr>
        <w:t> </w:t>
      </w:r>
      <w:r>
        <w:rPr>
          <w:spacing w:val="-2"/>
          <w:w w:val="70"/>
        </w:rPr>
        <w:t>Days*</w:t>
      </w:r>
    </w:p>
    <w:p>
      <w:pPr>
        <w:pStyle w:val="BodyText"/>
        <w:spacing w:before="84"/>
      </w:pPr>
    </w:p>
    <w:p>
      <w:pPr>
        <w:pStyle w:val="BodyText"/>
        <w:spacing w:line="273" w:lineRule="auto"/>
        <w:ind w:left="360"/>
      </w:pPr>
      <w:r>
        <w:rPr>
          <w:w w:val="75"/>
        </w:rPr>
        <w:t>* Total patient</w:t>
      </w:r>
      <w:r>
        <w:rPr>
          <w:spacing w:val="-5"/>
        </w:rPr>
        <w:t> </w:t>
      </w:r>
      <w:r>
        <w:rPr>
          <w:w w:val="75"/>
        </w:rPr>
        <w:t>days is the</w:t>
      </w:r>
      <w:r>
        <w:rPr>
          <w:spacing w:val="-6"/>
        </w:rPr>
        <w:t> </w:t>
      </w:r>
      <w:r>
        <w:rPr>
          <w:w w:val="75"/>
        </w:rPr>
        <w:t>total</w:t>
      </w:r>
      <w:r>
        <w:rPr>
          <w:spacing w:val="-4"/>
        </w:rPr>
        <w:t> </w:t>
      </w:r>
      <w:r>
        <w:rPr>
          <w:w w:val="75"/>
        </w:rPr>
        <w:t>number</w:t>
      </w:r>
      <w:r>
        <w:rPr>
          <w:spacing w:val="-6"/>
        </w:rPr>
        <w:t> </w:t>
      </w:r>
      <w:r>
        <w:rPr>
          <w:w w:val="75"/>
        </w:rPr>
        <w:t>of days</w:t>
      </w:r>
      <w:r>
        <w:rPr>
          <w:spacing w:val="-4"/>
        </w:rPr>
        <w:t> </w:t>
      </w:r>
      <w:r>
        <w:rPr>
          <w:w w:val="75"/>
        </w:rPr>
        <w:t>a patient</w:t>
      </w:r>
      <w:r>
        <w:rPr>
          <w:spacing w:val="-5"/>
        </w:rPr>
        <w:t> </w:t>
      </w:r>
      <w:r>
        <w:rPr>
          <w:w w:val="75"/>
        </w:rPr>
        <w:t>spends in</w:t>
      </w:r>
      <w:r>
        <w:rPr>
          <w:spacing w:val="-5"/>
        </w:rPr>
        <w:t> </w:t>
      </w:r>
      <w:r>
        <w:rPr>
          <w:w w:val="75"/>
        </w:rPr>
        <w:t>a hospital during a</w:t>
      </w:r>
      <w:r>
        <w:rPr>
          <w:spacing w:val="-2"/>
        </w:rPr>
        <w:t> </w:t>
      </w:r>
      <w:r>
        <w:rPr>
          <w:w w:val="75"/>
        </w:rPr>
        <w:t>specific period of time,</w:t>
      </w:r>
      <w:r>
        <w:rPr>
          <w:spacing w:val="-4"/>
        </w:rPr>
        <w:t> </w:t>
      </w:r>
      <w:r>
        <w:rPr>
          <w:w w:val="75"/>
        </w:rPr>
        <w:t>from the day of admission to</w:t>
      </w:r>
      <w:r>
        <w:rPr/>
        <w:t> </w:t>
      </w:r>
      <w:r>
        <w:rPr>
          <w:w w:val="75"/>
        </w:rPr>
        <w:t>the day</w:t>
      </w:r>
      <w:r>
        <w:rPr/>
        <w:t> </w:t>
      </w:r>
      <w:r>
        <w:rPr>
          <w:w w:val="75"/>
        </w:rPr>
        <w:t>of discharge, but</w:t>
      </w:r>
      <w:r>
        <w:rPr/>
        <w:t> </w:t>
      </w:r>
      <w:r>
        <w:rPr>
          <w:w w:val="75"/>
        </w:rPr>
        <w:t>not</w:t>
      </w:r>
      <w:r>
        <w:rPr/>
        <w:t> </w:t>
      </w:r>
      <w:r>
        <w:rPr>
          <w:w w:val="75"/>
        </w:rPr>
        <w:t>including the day</w:t>
      </w:r>
      <w:r>
        <w:rPr/>
        <w:t> </w:t>
      </w:r>
      <w:r>
        <w:rPr>
          <w:w w:val="75"/>
        </w:rPr>
        <w:t>of discharge.</w:t>
      </w:r>
    </w:p>
    <w:p>
      <w:pPr>
        <w:pStyle w:val="BodyText"/>
        <w:spacing w:before="118"/>
      </w:pPr>
    </w:p>
    <w:p>
      <w:pPr>
        <w:pStyle w:val="BodyText"/>
        <w:ind w:left="570"/>
      </w:pPr>
      <w:r>
        <w:rPr>
          <w:w w:val="65"/>
        </w:rPr>
        <w:t>Patient</w:t>
      </w:r>
      <w:r>
        <w:rPr/>
        <w:t> </w:t>
      </w:r>
      <w:r>
        <w:rPr>
          <w:w w:val="65"/>
        </w:rPr>
        <w:t>Fall</w:t>
      </w:r>
      <w:r>
        <w:rPr>
          <w:spacing w:val="-10"/>
        </w:rPr>
        <w:t> </w:t>
      </w:r>
      <w:r>
        <w:rPr>
          <w:w w:val="65"/>
        </w:rPr>
        <w:t>in</w:t>
      </w:r>
      <w:r>
        <w:rPr>
          <w:spacing w:val="-5"/>
        </w:rPr>
        <w:t> </w:t>
      </w:r>
      <w:r>
        <w:rPr>
          <w:w w:val="65"/>
        </w:rPr>
        <w:t>the</w:t>
      </w:r>
      <w:r>
        <w:rPr>
          <w:spacing w:val="-7"/>
        </w:rPr>
        <w:t> </w:t>
      </w:r>
      <w:r>
        <w:rPr>
          <w:spacing w:val="-2"/>
          <w:w w:val="65"/>
        </w:rPr>
        <w:t>Hospital</w:t>
      </w:r>
    </w:p>
    <w:p>
      <w:pPr>
        <w:pStyle w:val="BodyText"/>
        <w:spacing w:before="3"/>
        <w:rPr>
          <w:sz w:val="17"/>
        </w:rPr>
      </w:pPr>
    </w:p>
    <w:tbl>
      <w:tblPr>
        <w:tblW w:w="0" w:type="auto"/>
        <w:jc w:val="left"/>
        <w:tblInd w:w="57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0" w:type="dxa"/>
          <w:left w:w="0" w:type="dxa"/>
          <w:bottom w:w="0" w:type="dxa"/>
          <w:right w:w="0" w:type="dxa"/>
        </w:tblCellMar>
        <w:tblLook w:val="01E0"/>
      </w:tblPr>
      <w:tblGrid>
        <w:gridCol w:w="846"/>
        <w:gridCol w:w="611"/>
        <w:gridCol w:w="742"/>
        <w:gridCol w:w="631"/>
        <w:gridCol w:w="641"/>
        <w:gridCol w:w="606"/>
        <w:gridCol w:w="600"/>
        <w:gridCol w:w="595"/>
        <w:gridCol w:w="670"/>
        <w:gridCol w:w="641"/>
        <w:gridCol w:w="585"/>
        <w:gridCol w:w="655"/>
        <w:gridCol w:w="625"/>
        <w:gridCol w:w="639"/>
      </w:tblGrid>
      <w:tr>
        <w:trPr>
          <w:trHeight w:val="610" w:hRule="atLeast"/>
        </w:trPr>
        <w:tc>
          <w:tcPr>
            <w:tcW w:w="846" w:type="dxa"/>
          </w:tcPr>
          <w:p>
            <w:pPr>
              <w:pStyle w:val="TableParagraph"/>
              <w:spacing w:before="74"/>
              <w:rPr>
                <w:rFonts w:ascii="Trebuchet MS"/>
                <w:sz w:val="14"/>
              </w:rPr>
            </w:pPr>
          </w:p>
          <w:p>
            <w:pPr>
              <w:pStyle w:val="TableParagraph"/>
              <w:ind w:left="140"/>
              <w:rPr>
                <w:rFonts w:ascii="Franklin Gothic Medium"/>
                <w:sz w:val="14"/>
              </w:rPr>
            </w:pPr>
            <w:r>
              <w:rPr>
                <w:rFonts w:ascii="Franklin Gothic Medium"/>
                <w:color w:val="575757"/>
                <w:spacing w:val="-2"/>
                <w:w w:val="95"/>
                <w:sz w:val="14"/>
              </w:rPr>
              <w:t>Month</w:t>
            </w:r>
          </w:p>
        </w:tc>
        <w:tc>
          <w:tcPr>
            <w:tcW w:w="611" w:type="dxa"/>
          </w:tcPr>
          <w:p>
            <w:pPr>
              <w:pStyle w:val="TableParagraph"/>
              <w:spacing w:before="156"/>
              <w:ind w:left="10" w:right="4"/>
              <w:jc w:val="center"/>
              <w:rPr>
                <w:rFonts w:ascii="Franklin Gothic Medium"/>
                <w:sz w:val="14"/>
              </w:rPr>
            </w:pPr>
            <w:r>
              <w:rPr>
                <w:rFonts w:ascii="Franklin Gothic Medium"/>
                <w:color w:val="575757"/>
                <w:spacing w:val="-5"/>
                <w:w w:val="95"/>
                <w:sz w:val="14"/>
              </w:rPr>
              <w:t>Apr</w:t>
            </w:r>
          </w:p>
          <w:p>
            <w:pPr>
              <w:pStyle w:val="TableParagraph"/>
              <w:spacing w:before="7"/>
              <w:ind w:left="6" w:right="10"/>
              <w:jc w:val="center"/>
              <w:rPr>
                <w:rFonts w:ascii="Franklin Gothic Medium" w:hAnsi="Franklin Gothic Medium"/>
                <w:sz w:val="14"/>
              </w:rPr>
            </w:pPr>
            <w:r>
              <w:rPr>
                <w:rFonts w:ascii="Franklin Gothic Medium" w:hAnsi="Franklin Gothic Medium"/>
                <w:color w:val="575757"/>
                <w:spacing w:val="-5"/>
                <w:sz w:val="14"/>
              </w:rPr>
              <w:t>’24</w:t>
            </w:r>
          </w:p>
        </w:tc>
        <w:tc>
          <w:tcPr>
            <w:tcW w:w="742" w:type="dxa"/>
          </w:tcPr>
          <w:p>
            <w:pPr>
              <w:pStyle w:val="TableParagraph"/>
              <w:spacing w:before="156"/>
              <w:ind w:left="30" w:right="36"/>
              <w:jc w:val="center"/>
              <w:rPr>
                <w:rFonts w:ascii="Franklin Gothic Medium"/>
                <w:sz w:val="14"/>
              </w:rPr>
            </w:pPr>
            <w:r>
              <w:rPr>
                <w:rFonts w:ascii="Franklin Gothic Medium"/>
                <w:color w:val="575757"/>
                <w:spacing w:val="-5"/>
                <w:w w:val="95"/>
                <w:sz w:val="14"/>
              </w:rPr>
              <w:t>May</w:t>
            </w:r>
          </w:p>
          <w:p>
            <w:pPr>
              <w:pStyle w:val="TableParagraph"/>
              <w:spacing w:before="7"/>
              <w:ind w:left="36" w:right="6"/>
              <w:jc w:val="center"/>
              <w:rPr>
                <w:rFonts w:ascii="Franklin Gothic Medium" w:hAnsi="Franklin Gothic Medium"/>
                <w:sz w:val="14"/>
              </w:rPr>
            </w:pPr>
            <w:r>
              <w:rPr>
                <w:rFonts w:ascii="Franklin Gothic Medium" w:hAnsi="Franklin Gothic Medium"/>
                <w:color w:val="575757"/>
                <w:spacing w:val="-5"/>
                <w:sz w:val="14"/>
              </w:rPr>
              <w:t>’24</w:t>
            </w:r>
          </w:p>
        </w:tc>
        <w:tc>
          <w:tcPr>
            <w:tcW w:w="631" w:type="dxa"/>
          </w:tcPr>
          <w:p>
            <w:pPr>
              <w:pStyle w:val="TableParagraph"/>
              <w:spacing w:line="249" w:lineRule="auto" w:before="156"/>
              <w:ind w:left="237" w:right="230"/>
              <w:jc w:val="center"/>
              <w:rPr>
                <w:rFonts w:ascii="Franklin Gothic Medium"/>
                <w:sz w:val="14"/>
              </w:rPr>
            </w:pPr>
            <w:r>
              <w:rPr>
                <w:rFonts w:ascii="Franklin Gothic Medium"/>
                <w:color w:val="575757"/>
                <w:spacing w:val="-4"/>
                <w:w w:val="75"/>
                <w:sz w:val="14"/>
              </w:rPr>
              <w:t>Jun</w:t>
            </w:r>
            <w:r>
              <w:rPr>
                <w:rFonts w:ascii="Franklin Gothic Medium"/>
                <w:color w:val="575757"/>
                <w:spacing w:val="40"/>
                <w:sz w:val="14"/>
              </w:rPr>
              <w:t> </w:t>
            </w:r>
            <w:r>
              <w:rPr>
                <w:rFonts w:ascii="Franklin Gothic Medium"/>
                <w:color w:val="575757"/>
                <w:spacing w:val="-5"/>
                <w:w w:val="90"/>
                <w:sz w:val="14"/>
              </w:rPr>
              <w:t>24</w:t>
            </w:r>
          </w:p>
        </w:tc>
        <w:tc>
          <w:tcPr>
            <w:tcW w:w="641" w:type="dxa"/>
          </w:tcPr>
          <w:p>
            <w:pPr>
              <w:pStyle w:val="TableParagraph"/>
              <w:spacing w:before="156"/>
              <w:ind w:left="40" w:right="40"/>
              <w:jc w:val="center"/>
              <w:rPr>
                <w:rFonts w:ascii="Franklin Gothic Medium"/>
                <w:sz w:val="14"/>
              </w:rPr>
            </w:pPr>
            <w:r>
              <w:rPr>
                <w:rFonts w:ascii="Franklin Gothic Medium"/>
                <w:color w:val="575757"/>
                <w:spacing w:val="-5"/>
                <w:w w:val="95"/>
                <w:sz w:val="14"/>
              </w:rPr>
              <w:t>Jul</w:t>
            </w:r>
          </w:p>
          <w:p>
            <w:pPr>
              <w:pStyle w:val="TableParagraph"/>
              <w:spacing w:before="7"/>
              <w:ind w:left="6" w:right="46"/>
              <w:jc w:val="center"/>
              <w:rPr>
                <w:rFonts w:ascii="Franklin Gothic Medium" w:hAnsi="Franklin Gothic Medium"/>
                <w:sz w:val="14"/>
              </w:rPr>
            </w:pPr>
            <w:r>
              <w:rPr>
                <w:rFonts w:ascii="Franklin Gothic Medium" w:hAnsi="Franklin Gothic Medium"/>
                <w:color w:val="575757"/>
                <w:spacing w:val="-5"/>
                <w:sz w:val="14"/>
              </w:rPr>
              <w:t>’24</w:t>
            </w:r>
          </w:p>
        </w:tc>
        <w:tc>
          <w:tcPr>
            <w:tcW w:w="606" w:type="dxa"/>
          </w:tcPr>
          <w:p>
            <w:pPr>
              <w:pStyle w:val="TableParagraph"/>
              <w:spacing w:before="156"/>
              <w:ind w:right="12"/>
              <w:jc w:val="center"/>
              <w:rPr>
                <w:rFonts w:ascii="Franklin Gothic Medium"/>
                <w:sz w:val="14"/>
              </w:rPr>
            </w:pPr>
            <w:r>
              <w:rPr>
                <w:rFonts w:ascii="Franklin Gothic Medium"/>
                <w:color w:val="575757"/>
                <w:spacing w:val="-5"/>
                <w:w w:val="95"/>
                <w:sz w:val="14"/>
              </w:rPr>
              <w:t>Aug</w:t>
            </w:r>
          </w:p>
          <w:p>
            <w:pPr>
              <w:pStyle w:val="TableParagraph"/>
              <w:spacing w:before="7"/>
              <w:ind w:left="12" w:right="12"/>
              <w:jc w:val="center"/>
              <w:rPr>
                <w:rFonts w:ascii="Franklin Gothic Medium" w:hAnsi="Franklin Gothic Medium"/>
                <w:sz w:val="14"/>
              </w:rPr>
            </w:pPr>
            <w:r>
              <w:rPr>
                <w:rFonts w:ascii="Franklin Gothic Medium" w:hAnsi="Franklin Gothic Medium"/>
                <w:color w:val="575757"/>
                <w:spacing w:val="-5"/>
                <w:sz w:val="14"/>
              </w:rPr>
              <w:t>’24</w:t>
            </w:r>
          </w:p>
        </w:tc>
        <w:tc>
          <w:tcPr>
            <w:tcW w:w="600" w:type="dxa"/>
          </w:tcPr>
          <w:p>
            <w:pPr>
              <w:pStyle w:val="TableParagraph"/>
              <w:spacing w:before="156"/>
              <w:ind w:left="5" w:right="15"/>
              <w:jc w:val="center"/>
              <w:rPr>
                <w:rFonts w:ascii="Franklin Gothic Medium"/>
                <w:sz w:val="14"/>
              </w:rPr>
            </w:pPr>
            <w:r>
              <w:rPr>
                <w:rFonts w:ascii="Franklin Gothic Medium"/>
                <w:color w:val="575757"/>
                <w:spacing w:val="-5"/>
                <w:w w:val="95"/>
                <w:sz w:val="14"/>
              </w:rPr>
              <w:t>Sep</w:t>
            </w:r>
          </w:p>
          <w:p>
            <w:pPr>
              <w:pStyle w:val="TableParagraph"/>
              <w:spacing w:before="7"/>
              <w:ind w:left="15" w:right="10"/>
              <w:jc w:val="center"/>
              <w:rPr>
                <w:rFonts w:ascii="Franklin Gothic Medium" w:hAnsi="Franklin Gothic Medium"/>
                <w:sz w:val="14"/>
              </w:rPr>
            </w:pPr>
            <w:r>
              <w:rPr>
                <w:rFonts w:ascii="Franklin Gothic Medium" w:hAnsi="Franklin Gothic Medium"/>
                <w:color w:val="575757"/>
                <w:spacing w:val="-5"/>
                <w:sz w:val="14"/>
              </w:rPr>
              <w:t>’24</w:t>
            </w:r>
          </w:p>
        </w:tc>
        <w:tc>
          <w:tcPr>
            <w:tcW w:w="595" w:type="dxa"/>
          </w:tcPr>
          <w:p>
            <w:pPr>
              <w:pStyle w:val="TableParagraph"/>
              <w:spacing w:before="156"/>
              <w:ind w:right="10"/>
              <w:jc w:val="center"/>
              <w:rPr>
                <w:rFonts w:ascii="Franklin Gothic Medium"/>
                <w:sz w:val="14"/>
              </w:rPr>
            </w:pPr>
            <w:r>
              <w:rPr>
                <w:rFonts w:ascii="Franklin Gothic Medium"/>
                <w:color w:val="575757"/>
                <w:spacing w:val="-5"/>
                <w:w w:val="95"/>
                <w:sz w:val="14"/>
              </w:rPr>
              <w:t>Oct</w:t>
            </w:r>
          </w:p>
          <w:p>
            <w:pPr>
              <w:pStyle w:val="TableParagraph"/>
              <w:spacing w:before="7"/>
              <w:ind w:left="3" w:right="10"/>
              <w:jc w:val="center"/>
              <w:rPr>
                <w:rFonts w:ascii="Franklin Gothic Medium" w:hAnsi="Franklin Gothic Medium"/>
                <w:sz w:val="14"/>
              </w:rPr>
            </w:pPr>
            <w:r>
              <w:rPr>
                <w:rFonts w:ascii="Franklin Gothic Medium" w:hAnsi="Franklin Gothic Medium"/>
                <w:color w:val="575757"/>
                <w:spacing w:val="-5"/>
                <w:sz w:val="14"/>
              </w:rPr>
              <w:t>’24</w:t>
            </w:r>
          </w:p>
        </w:tc>
        <w:tc>
          <w:tcPr>
            <w:tcW w:w="670" w:type="dxa"/>
          </w:tcPr>
          <w:p>
            <w:pPr>
              <w:pStyle w:val="TableParagraph"/>
              <w:spacing w:before="156"/>
              <w:ind w:right="1"/>
              <w:jc w:val="center"/>
              <w:rPr>
                <w:rFonts w:ascii="Franklin Gothic Medium"/>
                <w:sz w:val="14"/>
              </w:rPr>
            </w:pPr>
            <w:r>
              <w:rPr>
                <w:rFonts w:ascii="Franklin Gothic Medium"/>
                <w:color w:val="575757"/>
                <w:spacing w:val="-5"/>
                <w:sz w:val="14"/>
              </w:rPr>
              <w:t>Nov</w:t>
            </w:r>
          </w:p>
          <w:p>
            <w:pPr>
              <w:pStyle w:val="TableParagraph"/>
              <w:spacing w:before="7"/>
              <w:ind w:right="1"/>
              <w:jc w:val="center"/>
              <w:rPr>
                <w:rFonts w:ascii="Franklin Gothic Medium" w:hAnsi="Franklin Gothic Medium"/>
                <w:sz w:val="14"/>
              </w:rPr>
            </w:pPr>
            <w:r>
              <w:rPr>
                <w:rFonts w:ascii="Franklin Gothic Medium" w:hAnsi="Franklin Gothic Medium"/>
                <w:color w:val="575757"/>
                <w:spacing w:val="-5"/>
                <w:sz w:val="14"/>
              </w:rPr>
              <w:t>’24</w:t>
            </w:r>
          </w:p>
        </w:tc>
        <w:tc>
          <w:tcPr>
            <w:tcW w:w="641" w:type="dxa"/>
          </w:tcPr>
          <w:p>
            <w:pPr>
              <w:pStyle w:val="TableParagraph"/>
              <w:spacing w:before="156"/>
              <w:ind w:left="32" w:right="40"/>
              <w:jc w:val="center"/>
              <w:rPr>
                <w:rFonts w:ascii="Franklin Gothic Medium"/>
                <w:sz w:val="14"/>
              </w:rPr>
            </w:pPr>
            <w:r>
              <w:rPr>
                <w:rFonts w:ascii="Franklin Gothic Medium"/>
                <w:color w:val="575757"/>
                <w:spacing w:val="-5"/>
                <w:w w:val="95"/>
                <w:sz w:val="14"/>
              </w:rPr>
              <w:t>Dec</w:t>
            </w:r>
          </w:p>
          <w:p>
            <w:pPr>
              <w:pStyle w:val="TableParagraph"/>
              <w:spacing w:before="7"/>
              <w:ind w:left="46" w:right="40"/>
              <w:jc w:val="center"/>
              <w:rPr>
                <w:rFonts w:ascii="Franklin Gothic Medium" w:hAnsi="Franklin Gothic Medium"/>
                <w:sz w:val="14"/>
              </w:rPr>
            </w:pPr>
            <w:r>
              <w:rPr>
                <w:rFonts w:ascii="Franklin Gothic Medium" w:hAnsi="Franklin Gothic Medium"/>
                <w:color w:val="575757"/>
                <w:spacing w:val="-5"/>
                <w:sz w:val="14"/>
              </w:rPr>
              <w:t>’24</w:t>
            </w:r>
          </w:p>
        </w:tc>
        <w:tc>
          <w:tcPr>
            <w:tcW w:w="585" w:type="dxa"/>
          </w:tcPr>
          <w:p>
            <w:pPr>
              <w:pStyle w:val="TableParagraph"/>
              <w:spacing w:before="156"/>
              <w:ind w:left="13" w:right="17"/>
              <w:jc w:val="center"/>
              <w:rPr>
                <w:rFonts w:ascii="Franklin Gothic Medium"/>
                <w:sz w:val="14"/>
              </w:rPr>
            </w:pPr>
            <w:r>
              <w:rPr>
                <w:rFonts w:ascii="Franklin Gothic Medium"/>
                <w:color w:val="575757"/>
                <w:spacing w:val="-5"/>
                <w:w w:val="95"/>
                <w:sz w:val="14"/>
              </w:rPr>
              <w:t>Jan</w:t>
            </w:r>
          </w:p>
          <w:p>
            <w:pPr>
              <w:pStyle w:val="TableParagraph"/>
              <w:spacing w:before="7"/>
              <w:ind w:right="17"/>
              <w:jc w:val="center"/>
              <w:rPr>
                <w:rFonts w:ascii="Franklin Gothic Medium" w:hAnsi="Franklin Gothic Medium"/>
                <w:sz w:val="14"/>
              </w:rPr>
            </w:pPr>
            <w:r>
              <w:rPr>
                <w:rFonts w:ascii="Franklin Gothic Medium" w:hAnsi="Franklin Gothic Medium"/>
                <w:color w:val="575757"/>
                <w:spacing w:val="-5"/>
                <w:sz w:val="14"/>
              </w:rPr>
              <w:t>’24</w:t>
            </w:r>
          </w:p>
        </w:tc>
        <w:tc>
          <w:tcPr>
            <w:tcW w:w="655" w:type="dxa"/>
          </w:tcPr>
          <w:p>
            <w:pPr>
              <w:pStyle w:val="TableParagraph"/>
              <w:spacing w:before="156"/>
              <w:ind w:right="17"/>
              <w:jc w:val="center"/>
              <w:rPr>
                <w:rFonts w:ascii="Franklin Gothic Medium"/>
                <w:sz w:val="14"/>
              </w:rPr>
            </w:pPr>
            <w:r>
              <w:rPr>
                <w:rFonts w:ascii="Franklin Gothic Medium"/>
                <w:color w:val="575757"/>
                <w:spacing w:val="-5"/>
                <w:sz w:val="14"/>
              </w:rPr>
              <w:t>Feb</w:t>
            </w:r>
          </w:p>
          <w:p>
            <w:pPr>
              <w:pStyle w:val="TableParagraph"/>
              <w:spacing w:before="7"/>
              <w:ind w:left="11" w:right="17"/>
              <w:jc w:val="center"/>
              <w:rPr>
                <w:rFonts w:ascii="Franklin Gothic Medium" w:hAnsi="Franklin Gothic Medium"/>
                <w:sz w:val="14"/>
              </w:rPr>
            </w:pPr>
            <w:r>
              <w:rPr>
                <w:rFonts w:ascii="Franklin Gothic Medium" w:hAnsi="Franklin Gothic Medium"/>
                <w:color w:val="575757"/>
                <w:spacing w:val="-5"/>
                <w:sz w:val="14"/>
              </w:rPr>
              <w:t>’24</w:t>
            </w:r>
          </w:p>
        </w:tc>
        <w:tc>
          <w:tcPr>
            <w:tcW w:w="625" w:type="dxa"/>
          </w:tcPr>
          <w:p>
            <w:pPr>
              <w:pStyle w:val="TableParagraph"/>
              <w:spacing w:before="156"/>
              <w:ind w:left="11" w:right="11"/>
              <w:jc w:val="center"/>
              <w:rPr>
                <w:rFonts w:ascii="Franklin Gothic Medium"/>
                <w:sz w:val="14"/>
              </w:rPr>
            </w:pPr>
            <w:r>
              <w:rPr>
                <w:rFonts w:ascii="Franklin Gothic Medium"/>
                <w:color w:val="575757"/>
                <w:spacing w:val="-5"/>
                <w:w w:val="95"/>
                <w:sz w:val="14"/>
              </w:rPr>
              <w:t>Mar</w:t>
            </w:r>
          </w:p>
          <w:p>
            <w:pPr>
              <w:pStyle w:val="TableParagraph"/>
              <w:spacing w:before="7"/>
              <w:ind w:left="11"/>
              <w:jc w:val="center"/>
              <w:rPr>
                <w:rFonts w:ascii="Franklin Gothic Medium" w:hAnsi="Franklin Gothic Medium"/>
                <w:sz w:val="14"/>
              </w:rPr>
            </w:pPr>
            <w:r>
              <w:rPr>
                <w:rFonts w:ascii="Franklin Gothic Medium" w:hAnsi="Franklin Gothic Medium"/>
                <w:color w:val="575757"/>
                <w:spacing w:val="-5"/>
                <w:sz w:val="14"/>
              </w:rPr>
              <w:t>’24</w:t>
            </w:r>
          </w:p>
        </w:tc>
        <w:tc>
          <w:tcPr>
            <w:tcW w:w="639" w:type="dxa"/>
          </w:tcPr>
          <w:p>
            <w:pPr>
              <w:pStyle w:val="TableParagraph"/>
              <w:spacing w:before="74"/>
              <w:rPr>
                <w:rFonts w:ascii="Trebuchet MS"/>
                <w:sz w:val="14"/>
              </w:rPr>
            </w:pPr>
          </w:p>
          <w:p>
            <w:pPr>
              <w:pStyle w:val="TableParagraph"/>
              <w:ind w:left="195"/>
              <w:rPr>
                <w:rFonts w:ascii="Franklin Gothic Medium"/>
                <w:sz w:val="14"/>
              </w:rPr>
            </w:pPr>
            <w:r>
              <w:rPr>
                <w:rFonts w:ascii="Franklin Gothic Medium"/>
                <w:color w:val="575757"/>
                <w:spacing w:val="-2"/>
                <w:sz w:val="14"/>
              </w:rPr>
              <w:t>Total</w:t>
            </w:r>
          </w:p>
        </w:tc>
      </w:tr>
      <w:tr>
        <w:trPr>
          <w:trHeight w:val="510" w:hRule="atLeast"/>
        </w:trPr>
        <w:tc>
          <w:tcPr>
            <w:tcW w:w="846" w:type="dxa"/>
            <w:shd w:val="clear" w:color="auto" w:fill="E1EDEB"/>
          </w:tcPr>
          <w:p>
            <w:pPr>
              <w:pStyle w:val="TableParagraph"/>
              <w:spacing w:before="24"/>
              <w:rPr>
                <w:rFonts w:ascii="Trebuchet MS"/>
                <w:sz w:val="14"/>
              </w:rPr>
            </w:pPr>
          </w:p>
          <w:p>
            <w:pPr>
              <w:pStyle w:val="TableParagraph"/>
              <w:ind w:left="140"/>
              <w:rPr>
                <w:rFonts w:ascii="Franklin Gothic Medium"/>
                <w:sz w:val="14"/>
              </w:rPr>
            </w:pPr>
            <w:r>
              <w:rPr>
                <w:rFonts w:ascii="Franklin Gothic Medium"/>
                <w:color w:val="575757"/>
                <w:w w:val="80"/>
                <w:sz w:val="14"/>
              </w:rPr>
              <w:t>No.</w:t>
            </w:r>
            <w:r>
              <w:rPr>
                <w:rFonts w:ascii="Franklin Gothic Medium"/>
                <w:color w:val="575757"/>
                <w:spacing w:val="-4"/>
                <w:sz w:val="14"/>
              </w:rPr>
              <w:t> </w:t>
            </w:r>
            <w:r>
              <w:rPr>
                <w:rFonts w:ascii="Franklin Gothic Medium"/>
                <w:color w:val="575757"/>
                <w:w w:val="80"/>
                <w:sz w:val="14"/>
              </w:rPr>
              <w:t>of</w:t>
            </w:r>
            <w:r>
              <w:rPr>
                <w:rFonts w:ascii="Franklin Gothic Medium"/>
                <w:color w:val="575757"/>
                <w:spacing w:val="-1"/>
                <w:w w:val="80"/>
                <w:sz w:val="14"/>
              </w:rPr>
              <w:t> </w:t>
            </w:r>
            <w:r>
              <w:rPr>
                <w:rFonts w:ascii="Franklin Gothic Medium"/>
                <w:color w:val="575757"/>
                <w:spacing w:val="-4"/>
                <w:w w:val="80"/>
                <w:sz w:val="14"/>
              </w:rPr>
              <w:t>Falls</w:t>
            </w:r>
          </w:p>
        </w:tc>
        <w:tc>
          <w:tcPr>
            <w:tcW w:w="611" w:type="dxa"/>
            <w:shd w:val="clear" w:color="auto" w:fill="E1EDEB"/>
          </w:tcPr>
          <w:p>
            <w:pPr>
              <w:pStyle w:val="TableParagraph"/>
              <w:rPr>
                <w:rFonts w:ascii="Times New Roman"/>
                <w:sz w:val="16"/>
              </w:rPr>
            </w:pPr>
          </w:p>
        </w:tc>
        <w:tc>
          <w:tcPr>
            <w:tcW w:w="742" w:type="dxa"/>
            <w:shd w:val="clear" w:color="auto" w:fill="E1EDEB"/>
          </w:tcPr>
          <w:p>
            <w:pPr>
              <w:pStyle w:val="TableParagraph"/>
              <w:rPr>
                <w:rFonts w:ascii="Times New Roman"/>
                <w:sz w:val="16"/>
              </w:rPr>
            </w:pPr>
          </w:p>
        </w:tc>
        <w:tc>
          <w:tcPr>
            <w:tcW w:w="631" w:type="dxa"/>
            <w:shd w:val="clear" w:color="auto" w:fill="E1EDEB"/>
          </w:tcPr>
          <w:p>
            <w:pPr>
              <w:pStyle w:val="TableParagraph"/>
              <w:rPr>
                <w:rFonts w:ascii="Times New Roman"/>
                <w:sz w:val="16"/>
              </w:rPr>
            </w:pPr>
          </w:p>
        </w:tc>
        <w:tc>
          <w:tcPr>
            <w:tcW w:w="641" w:type="dxa"/>
            <w:shd w:val="clear" w:color="auto" w:fill="E1EDEB"/>
          </w:tcPr>
          <w:p>
            <w:pPr>
              <w:pStyle w:val="TableParagraph"/>
              <w:rPr>
                <w:rFonts w:ascii="Times New Roman"/>
                <w:sz w:val="16"/>
              </w:rPr>
            </w:pPr>
          </w:p>
        </w:tc>
        <w:tc>
          <w:tcPr>
            <w:tcW w:w="606" w:type="dxa"/>
            <w:shd w:val="clear" w:color="auto" w:fill="E1EDEB"/>
          </w:tcPr>
          <w:p>
            <w:pPr>
              <w:pStyle w:val="TableParagraph"/>
              <w:rPr>
                <w:rFonts w:ascii="Times New Roman"/>
                <w:sz w:val="16"/>
              </w:rPr>
            </w:pPr>
          </w:p>
        </w:tc>
        <w:tc>
          <w:tcPr>
            <w:tcW w:w="600" w:type="dxa"/>
            <w:shd w:val="clear" w:color="auto" w:fill="E1EDEB"/>
          </w:tcPr>
          <w:p>
            <w:pPr>
              <w:pStyle w:val="TableParagraph"/>
              <w:rPr>
                <w:rFonts w:ascii="Times New Roman"/>
                <w:sz w:val="16"/>
              </w:rPr>
            </w:pPr>
          </w:p>
        </w:tc>
        <w:tc>
          <w:tcPr>
            <w:tcW w:w="595" w:type="dxa"/>
            <w:shd w:val="clear" w:color="auto" w:fill="E1EDEB"/>
          </w:tcPr>
          <w:p>
            <w:pPr>
              <w:pStyle w:val="TableParagraph"/>
              <w:rPr>
                <w:rFonts w:ascii="Times New Roman"/>
                <w:sz w:val="16"/>
              </w:rPr>
            </w:pPr>
          </w:p>
        </w:tc>
        <w:tc>
          <w:tcPr>
            <w:tcW w:w="670" w:type="dxa"/>
            <w:shd w:val="clear" w:color="auto" w:fill="E1EDEB"/>
          </w:tcPr>
          <w:p>
            <w:pPr>
              <w:pStyle w:val="TableParagraph"/>
              <w:rPr>
                <w:rFonts w:ascii="Times New Roman"/>
                <w:sz w:val="16"/>
              </w:rPr>
            </w:pPr>
          </w:p>
        </w:tc>
        <w:tc>
          <w:tcPr>
            <w:tcW w:w="641" w:type="dxa"/>
            <w:shd w:val="clear" w:color="auto" w:fill="E1EDEB"/>
          </w:tcPr>
          <w:p>
            <w:pPr>
              <w:pStyle w:val="TableParagraph"/>
              <w:rPr>
                <w:rFonts w:ascii="Times New Roman"/>
                <w:sz w:val="16"/>
              </w:rPr>
            </w:pPr>
          </w:p>
        </w:tc>
        <w:tc>
          <w:tcPr>
            <w:tcW w:w="585" w:type="dxa"/>
            <w:shd w:val="clear" w:color="auto" w:fill="E1EDEB"/>
          </w:tcPr>
          <w:p>
            <w:pPr>
              <w:pStyle w:val="TableParagraph"/>
              <w:rPr>
                <w:rFonts w:ascii="Times New Roman"/>
                <w:sz w:val="16"/>
              </w:rPr>
            </w:pPr>
          </w:p>
        </w:tc>
        <w:tc>
          <w:tcPr>
            <w:tcW w:w="655" w:type="dxa"/>
            <w:shd w:val="clear" w:color="auto" w:fill="E1EDEB"/>
          </w:tcPr>
          <w:p>
            <w:pPr>
              <w:pStyle w:val="TableParagraph"/>
              <w:rPr>
                <w:rFonts w:ascii="Times New Roman"/>
                <w:sz w:val="16"/>
              </w:rPr>
            </w:pPr>
          </w:p>
        </w:tc>
        <w:tc>
          <w:tcPr>
            <w:tcW w:w="625" w:type="dxa"/>
            <w:shd w:val="clear" w:color="auto" w:fill="E1EDEB"/>
          </w:tcPr>
          <w:p>
            <w:pPr>
              <w:pStyle w:val="TableParagraph"/>
              <w:rPr>
                <w:rFonts w:ascii="Times New Roman"/>
                <w:sz w:val="16"/>
              </w:rPr>
            </w:pPr>
          </w:p>
        </w:tc>
        <w:tc>
          <w:tcPr>
            <w:tcW w:w="639" w:type="dxa"/>
            <w:shd w:val="clear" w:color="auto" w:fill="E1EDEB"/>
          </w:tcPr>
          <w:p>
            <w:pPr>
              <w:pStyle w:val="TableParagraph"/>
              <w:rPr>
                <w:rFonts w:ascii="Times New Roman"/>
                <w:sz w:val="16"/>
              </w:rPr>
            </w:pPr>
          </w:p>
        </w:tc>
      </w:tr>
      <w:tr>
        <w:trPr>
          <w:trHeight w:val="510" w:hRule="atLeast"/>
        </w:trPr>
        <w:tc>
          <w:tcPr>
            <w:tcW w:w="846" w:type="dxa"/>
          </w:tcPr>
          <w:p>
            <w:pPr>
              <w:pStyle w:val="TableParagraph"/>
              <w:spacing w:line="256" w:lineRule="auto" w:before="107"/>
              <w:ind w:left="140" w:right="157"/>
              <w:rPr>
                <w:rFonts w:ascii="Franklin Gothic Medium"/>
                <w:sz w:val="14"/>
              </w:rPr>
            </w:pPr>
            <w:r>
              <w:rPr>
                <w:rFonts w:ascii="Franklin Gothic Medium"/>
                <w:color w:val="575757"/>
                <w:spacing w:val="-2"/>
                <w:w w:val="75"/>
                <w:sz w:val="14"/>
              </w:rPr>
              <w:t>Patient</w:t>
            </w:r>
            <w:r>
              <w:rPr>
                <w:rFonts w:ascii="Franklin Gothic Medium"/>
                <w:color w:val="575757"/>
                <w:spacing w:val="40"/>
                <w:sz w:val="14"/>
              </w:rPr>
              <w:t> </w:t>
            </w:r>
            <w:r>
              <w:rPr>
                <w:rFonts w:ascii="Franklin Gothic Medium"/>
                <w:color w:val="575757"/>
                <w:spacing w:val="-4"/>
                <w:w w:val="90"/>
                <w:sz w:val="14"/>
              </w:rPr>
              <w:t>Days</w:t>
            </w:r>
          </w:p>
        </w:tc>
        <w:tc>
          <w:tcPr>
            <w:tcW w:w="611" w:type="dxa"/>
          </w:tcPr>
          <w:p>
            <w:pPr>
              <w:pStyle w:val="TableParagraph"/>
              <w:rPr>
                <w:rFonts w:ascii="Times New Roman"/>
                <w:sz w:val="16"/>
              </w:rPr>
            </w:pPr>
          </w:p>
        </w:tc>
        <w:tc>
          <w:tcPr>
            <w:tcW w:w="742" w:type="dxa"/>
          </w:tcPr>
          <w:p>
            <w:pPr>
              <w:pStyle w:val="TableParagraph"/>
              <w:rPr>
                <w:rFonts w:ascii="Times New Roman"/>
                <w:sz w:val="16"/>
              </w:rPr>
            </w:pPr>
          </w:p>
        </w:tc>
        <w:tc>
          <w:tcPr>
            <w:tcW w:w="631" w:type="dxa"/>
          </w:tcPr>
          <w:p>
            <w:pPr>
              <w:pStyle w:val="TableParagraph"/>
              <w:rPr>
                <w:rFonts w:ascii="Times New Roman"/>
                <w:sz w:val="16"/>
              </w:rPr>
            </w:pPr>
          </w:p>
        </w:tc>
        <w:tc>
          <w:tcPr>
            <w:tcW w:w="641" w:type="dxa"/>
          </w:tcPr>
          <w:p>
            <w:pPr>
              <w:pStyle w:val="TableParagraph"/>
              <w:rPr>
                <w:rFonts w:ascii="Times New Roman"/>
                <w:sz w:val="16"/>
              </w:rPr>
            </w:pPr>
          </w:p>
        </w:tc>
        <w:tc>
          <w:tcPr>
            <w:tcW w:w="606" w:type="dxa"/>
          </w:tcPr>
          <w:p>
            <w:pPr>
              <w:pStyle w:val="TableParagraph"/>
              <w:rPr>
                <w:rFonts w:ascii="Times New Roman"/>
                <w:sz w:val="16"/>
              </w:rPr>
            </w:pPr>
          </w:p>
        </w:tc>
        <w:tc>
          <w:tcPr>
            <w:tcW w:w="600" w:type="dxa"/>
          </w:tcPr>
          <w:p>
            <w:pPr>
              <w:pStyle w:val="TableParagraph"/>
              <w:rPr>
                <w:rFonts w:ascii="Times New Roman"/>
                <w:sz w:val="16"/>
              </w:rPr>
            </w:pPr>
          </w:p>
        </w:tc>
        <w:tc>
          <w:tcPr>
            <w:tcW w:w="595" w:type="dxa"/>
          </w:tcPr>
          <w:p>
            <w:pPr>
              <w:pStyle w:val="TableParagraph"/>
              <w:rPr>
                <w:rFonts w:ascii="Times New Roman"/>
                <w:sz w:val="16"/>
              </w:rPr>
            </w:pPr>
          </w:p>
        </w:tc>
        <w:tc>
          <w:tcPr>
            <w:tcW w:w="670" w:type="dxa"/>
          </w:tcPr>
          <w:p>
            <w:pPr>
              <w:pStyle w:val="TableParagraph"/>
              <w:rPr>
                <w:rFonts w:ascii="Times New Roman"/>
                <w:sz w:val="16"/>
              </w:rPr>
            </w:pPr>
          </w:p>
        </w:tc>
        <w:tc>
          <w:tcPr>
            <w:tcW w:w="641" w:type="dxa"/>
          </w:tcPr>
          <w:p>
            <w:pPr>
              <w:pStyle w:val="TableParagraph"/>
              <w:rPr>
                <w:rFonts w:ascii="Times New Roman"/>
                <w:sz w:val="16"/>
              </w:rPr>
            </w:pPr>
          </w:p>
        </w:tc>
        <w:tc>
          <w:tcPr>
            <w:tcW w:w="585" w:type="dxa"/>
          </w:tcPr>
          <w:p>
            <w:pPr>
              <w:pStyle w:val="TableParagraph"/>
              <w:rPr>
                <w:rFonts w:ascii="Times New Roman"/>
                <w:sz w:val="16"/>
              </w:rPr>
            </w:pPr>
          </w:p>
        </w:tc>
        <w:tc>
          <w:tcPr>
            <w:tcW w:w="655" w:type="dxa"/>
          </w:tcPr>
          <w:p>
            <w:pPr>
              <w:pStyle w:val="TableParagraph"/>
              <w:rPr>
                <w:rFonts w:ascii="Times New Roman"/>
                <w:sz w:val="16"/>
              </w:rPr>
            </w:pPr>
          </w:p>
        </w:tc>
        <w:tc>
          <w:tcPr>
            <w:tcW w:w="625" w:type="dxa"/>
          </w:tcPr>
          <w:p>
            <w:pPr>
              <w:pStyle w:val="TableParagraph"/>
              <w:rPr>
                <w:rFonts w:ascii="Times New Roman"/>
                <w:sz w:val="16"/>
              </w:rPr>
            </w:pPr>
          </w:p>
        </w:tc>
        <w:tc>
          <w:tcPr>
            <w:tcW w:w="639" w:type="dxa"/>
          </w:tcPr>
          <w:p>
            <w:pPr>
              <w:pStyle w:val="TableParagraph"/>
              <w:rPr>
                <w:rFonts w:ascii="Times New Roman"/>
                <w:sz w:val="16"/>
              </w:rPr>
            </w:pPr>
          </w:p>
        </w:tc>
      </w:tr>
      <w:tr>
        <w:trPr>
          <w:trHeight w:val="515" w:hRule="atLeast"/>
        </w:trPr>
        <w:tc>
          <w:tcPr>
            <w:tcW w:w="846" w:type="dxa"/>
            <w:shd w:val="clear" w:color="auto" w:fill="E1EDEB"/>
          </w:tcPr>
          <w:p>
            <w:pPr>
              <w:pStyle w:val="TableParagraph"/>
              <w:spacing w:before="29"/>
              <w:rPr>
                <w:rFonts w:ascii="Trebuchet MS"/>
                <w:sz w:val="14"/>
              </w:rPr>
            </w:pPr>
          </w:p>
          <w:p>
            <w:pPr>
              <w:pStyle w:val="TableParagraph"/>
              <w:ind w:left="140"/>
              <w:rPr>
                <w:rFonts w:ascii="Franklin Gothic Medium"/>
                <w:sz w:val="14"/>
              </w:rPr>
            </w:pPr>
            <w:r>
              <w:rPr>
                <w:rFonts w:ascii="Franklin Gothic Medium"/>
                <w:color w:val="575757"/>
                <w:w w:val="80"/>
                <w:sz w:val="14"/>
              </w:rPr>
              <w:t>Fall</w:t>
            </w:r>
            <w:r>
              <w:rPr>
                <w:rFonts w:ascii="Franklin Gothic Medium"/>
                <w:color w:val="575757"/>
                <w:spacing w:val="-1"/>
                <w:w w:val="90"/>
                <w:sz w:val="14"/>
              </w:rPr>
              <w:t> </w:t>
            </w:r>
            <w:r>
              <w:rPr>
                <w:rFonts w:ascii="Franklin Gothic Medium"/>
                <w:color w:val="575757"/>
                <w:spacing w:val="-4"/>
                <w:w w:val="90"/>
                <w:sz w:val="14"/>
              </w:rPr>
              <w:t>Rate</w:t>
            </w:r>
          </w:p>
        </w:tc>
        <w:tc>
          <w:tcPr>
            <w:tcW w:w="611" w:type="dxa"/>
            <w:shd w:val="clear" w:color="auto" w:fill="E1EDEB"/>
          </w:tcPr>
          <w:p>
            <w:pPr>
              <w:pStyle w:val="TableParagraph"/>
              <w:rPr>
                <w:rFonts w:ascii="Times New Roman"/>
                <w:sz w:val="16"/>
              </w:rPr>
            </w:pPr>
          </w:p>
        </w:tc>
        <w:tc>
          <w:tcPr>
            <w:tcW w:w="742" w:type="dxa"/>
            <w:shd w:val="clear" w:color="auto" w:fill="E1EDEB"/>
          </w:tcPr>
          <w:p>
            <w:pPr>
              <w:pStyle w:val="TableParagraph"/>
              <w:rPr>
                <w:rFonts w:ascii="Times New Roman"/>
                <w:sz w:val="16"/>
              </w:rPr>
            </w:pPr>
          </w:p>
        </w:tc>
        <w:tc>
          <w:tcPr>
            <w:tcW w:w="631" w:type="dxa"/>
            <w:shd w:val="clear" w:color="auto" w:fill="E1EDEB"/>
          </w:tcPr>
          <w:p>
            <w:pPr>
              <w:pStyle w:val="TableParagraph"/>
              <w:rPr>
                <w:rFonts w:ascii="Times New Roman"/>
                <w:sz w:val="16"/>
              </w:rPr>
            </w:pPr>
          </w:p>
        </w:tc>
        <w:tc>
          <w:tcPr>
            <w:tcW w:w="641" w:type="dxa"/>
            <w:shd w:val="clear" w:color="auto" w:fill="E1EDEB"/>
          </w:tcPr>
          <w:p>
            <w:pPr>
              <w:pStyle w:val="TableParagraph"/>
              <w:rPr>
                <w:rFonts w:ascii="Times New Roman"/>
                <w:sz w:val="16"/>
              </w:rPr>
            </w:pPr>
          </w:p>
        </w:tc>
        <w:tc>
          <w:tcPr>
            <w:tcW w:w="606" w:type="dxa"/>
            <w:shd w:val="clear" w:color="auto" w:fill="E1EDEB"/>
          </w:tcPr>
          <w:p>
            <w:pPr>
              <w:pStyle w:val="TableParagraph"/>
              <w:rPr>
                <w:rFonts w:ascii="Times New Roman"/>
                <w:sz w:val="16"/>
              </w:rPr>
            </w:pPr>
          </w:p>
        </w:tc>
        <w:tc>
          <w:tcPr>
            <w:tcW w:w="600" w:type="dxa"/>
            <w:shd w:val="clear" w:color="auto" w:fill="E1EDEB"/>
          </w:tcPr>
          <w:p>
            <w:pPr>
              <w:pStyle w:val="TableParagraph"/>
              <w:rPr>
                <w:rFonts w:ascii="Times New Roman"/>
                <w:sz w:val="16"/>
              </w:rPr>
            </w:pPr>
          </w:p>
        </w:tc>
        <w:tc>
          <w:tcPr>
            <w:tcW w:w="595" w:type="dxa"/>
            <w:shd w:val="clear" w:color="auto" w:fill="E1EDEB"/>
          </w:tcPr>
          <w:p>
            <w:pPr>
              <w:pStyle w:val="TableParagraph"/>
              <w:rPr>
                <w:rFonts w:ascii="Times New Roman"/>
                <w:sz w:val="16"/>
              </w:rPr>
            </w:pPr>
          </w:p>
        </w:tc>
        <w:tc>
          <w:tcPr>
            <w:tcW w:w="670" w:type="dxa"/>
            <w:shd w:val="clear" w:color="auto" w:fill="E1EDEB"/>
          </w:tcPr>
          <w:p>
            <w:pPr>
              <w:pStyle w:val="TableParagraph"/>
              <w:rPr>
                <w:rFonts w:ascii="Times New Roman"/>
                <w:sz w:val="16"/>
              </w:rPr>
            </w:pPr>
          </w:p>
        </w:tc>
        <w:tc>
          <w:tcPr>
            <w:tcW w:w="641" w:type="dxa"/>
            <w:shd w:val="clear" w:color="auto" w:fill="E1EDEB"/>
          </w:tcPr>
          <w:p>
            <w:pPr>
              <w:pStyle w:val="TableParagraph"/>
              <w:rPr>
                <w:rFonts w:ascii="Times New Roman"/>
                <w:sz w:val="16"/>
              </w:rPr>
            </w:pPr>
          </w:p>
        </w:tc>
        <w:tc>
          <w:tcPr>
            <w:tcW w:w="585" w:type="dxa"/>
            <w:shd w:val="clear" w:color="auto" w:fill="E1EDEB"/>
          </w:tcPr>
          <w:p>
            <w:pPr>
              <w:pStyle w:val="TableParagraph"/>
              <w:rPr>
                <w:rFonts w:ascii="Times New Roman"/>
                <w:sz w:val="16"/>
              </w:rPr>
            </w:pPr>
          </w:p>
        </w:tc>
        <w:tc>
          <w:tcPr>
            <w:tcW w:w="655" w:type="dxa"/>
            <w:shd w:val="clear" w:color="auto" w:fill="E1EDEB"/>
          </w:tcPr>
          <w:p>
            <w:pPr>
              <w:pStyle w:val="TableParagraph"/>
              <w:rPr>
                <w:rFonts w:ascii="Times New Roman"/>
                <w:sz w:val="16"/>
              </w:rPr>
            </w:pPr>
          </w:p>
        </w:tc>
        <w:tc>
          <w:tcPr>
            <w:tcW w:w="625" w:type="dxa"/>
            <w:shd w:val="clear" w:color="auto" w:fill="E1EDEB"/>
          </w:tcPr>
          <w:p>
            <w:pPr>
              <w:pStyle w:val="TableParagraph"/>
              <w:rPr>
                <w:rFonts w:ascii="Times New Roman"/>
                <w:sz w:val="16"/>
              </w:rPr>
            </w:pPr>
          </w:p>
        </w:tc>
        <w:tc>
          <w:tcPr>
            <w:tcW w:w="639" w:type="dxa"/>
            <w:shd w:val="clear" w:color="auto" w:fill="E1EDEB"/>
          </w:tcPr>
          <w:p>
            <w:pPr>
              <w:pStyle w:val="TableParagraph"/>
              <w:rPr>
                <w:rFonts w:ascii="Times New Roman"/>
                <w:sz w:val="16"/>
              </w:rPr>
            </w:pPr>
          </w:p>
        </w:tc>
      </w:tr>
    </w:tbl>
    <w:p>
      <w:pPr>
        <w:pStyle w:val="BodyText"/>
      </w:pPr>
    </w:p>
    <w:p>
      <w:pPr>
        <w:pStyle w:val="BodyText"/>
        <w:spacing w:before="168"/>
      </w:pPr>
    </w:p>
    <w:p>
      <w:pPr>
        <w:pStyle w:val="BodyText"/>
        <w:ind w:left="570"/>
        <w:rPr>
          <w:rFonts w:ascii="Franklin Gothic Medium"/>
        </w:rPr>
      </w:pPr>
      <w:r>
        <w:rPr>
          <w:rFonts w:ascii="Franklin Gothic Medium"/>
          <w:w w:val="75"/>
        </w:rPr>
        <w:t>Graphical</w:t>
      </w:r>
      <w:r>
        <w:rPr>
          <w:rFonts w:ascii="Franklin Gothic Medium"/>
          <w:spacing w:val="19"/>
        </w:rPr>
        <w:t> </w:t>
      </w:r>
      <w:r>
        <w:rPr>
          <w:rFonts w:ascii="Franklin Gothic Medium"/>
          <w:w w:val="75"/>
        </w:rPr>
        <w:t>Representation</w:t>
      </w:r>
      <w:r>
        <w:rPr>
          <w:rFonts w:ascii="Franklin Gothic Medium"/>
          <w:spacing w:val="34"/>
        </w:rPr>
        <w:t> </w:t>
      </w:r>
      <w:r>
        <w:rPr>
          <w:rFonts w:ascii="Franklin Gothic Medium"/>
          <w:w w:val="75"/>
        </w:rPr>
        <w:t>of</w:t>
      </w:r>
      <w:r>
        <w:rPr>
          <w:rFonts w:ascii="Franklin Gothic Medium"/>
          <w:spacing w:val="4"/>
        </w:rPr>
        <w:t> </w:t>
      </w:r>
      <w:r>
        <w:rPr>
          <w:rFonts w:ascii="Franklin Gothic Medium"/>
          <w:w w:val="75"/>
        </w:rPr>
        <w:t>the</w:t>
      </w:r>
      <w:r>
        <w:rPr>
          <w:rFonts w:ascii="Franklin Gothic Medium"/>
          <w:spacing w:val="23"/>
        </w:rPr>
        <w:t> </w:t>
      </w:r>
      <w:r>
        <w:rPr>
          <w:rFonts w:ascii="Franklin Gothic Medium"/>
          <w:spacing w:val="-2"/>
          <w:w w:val="75"/>
        </w:rPr>
        <w:t>Indicator</w:t>
      </w:r>
    </w:p>
    <w:p>
      <w:pPr>
        <w:pStyle w:val="BodyText"/>
        <w:spacing w:before="7"/>
        <w:rPr>
          <w:rFonts w:ascii="Franklin Gothic Medium"/>
          <w:sz w:val="5"/>
        </w:rPr>
      </w:pPr>
      <w:r>
        <w:rPr>
          <w:rFonts w:ascii="Franklin Gothic Medium"/>
          <w:sz w:val="5"/>
        </w:rPr>
        <w:drawing>
          <wp:anchor distT="0" distB="0" distL="0" distR="0" allowOverlap="1" layoutInCell="1" locked="0" behindDoc="1" simplePos="0" relativeHeight="487587840">
            <wp:simplePos x="0" y="0"/>
            <wp:positionH relativeFrom="page">
              <wp:posOffset>618490</wp:posOffset>
            </wp:positionH>
            <wp:positionV relativeFrom="paragraph">
              <wp:posOffset>56304</wp:posOffset>
            </wp:positionV>
            <wp:extent cx="4543715" cy="1988820"/>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4543715" cy="1988820"/>
                    </a:xfrm>
                    <a:prstGeom prst="rect">
                      <a:avLst/>
                    </a:prstGeom>
                  </pic:spPr>
                </pic:pic>
              </a:graphicData>
            </a:graphic>
          </wp:anchor>
        </w:drawing>
      </w:r>
    </w:p>
    <w:p>
      <w:pPr>
        <w:spacing w:before="1"/>
        <w:ind w:left="570" w:right="0" w:firstLine="0"/>
        <w:jc w:val="left"/>
        <w:rPr>
          <w:rFonts w:ascii="Franklin Gothic Medium"/>
          <w:i/>
          <w:sz w:val="16"/>
        </w:rPr>
      </w:pPr>
      <w:r>
        <w:rPr>
          <w:rFonts w:ascii="Franklin Gothic Medium"/>
          <w:i/>
          <w:w w:val="70"/>
          <w:sz w:val="16"/>
        </w:rPr>
        <w:t>*Sample</w:t>
      </w:r>
      <w:r>
        <w:rPr>
          <w:rFonts w:ascii="Franklin Gothic Medium"/>
          <w:i/>
          <w:spacing w:val="-6"/>
          <w:sz w:val="16"/>
        </w:rPr>
        <w:t> </w:t>
      </w:r>
      <w:r>
        <w:rPr>
          <w:rFonts w:ascii="Franklin Gothic Medium"/>
          <w:i/>
          <w:spacing w:val="-4"/>
          <w:w w:val="80"/>
          <w:sz w:val="16"/>
        </w:rPr>
        <w:t>Only</w:t>
      </w:r>
    </w:p>
    <w:p>
      <w:pPr>
        <w:spacing w:after="0"/>
        <w:jc w:val="left"/>
        <w:rPr>
          <w:rFonts w:ascii="Franklin Gothic Medium"/>
          <w:i/>
          <w:sz w:val="16"/>
        </w:rPr>
        <w:sectPr>
          <w:pgSz w:w="10800" w:h="15600"/>
          <w:pgMar w:header="232" w:footer="0" w:top="1040" w:bottom="280" w:left="360" w:right="0"/>
        </w:sectPr>
      </w:pPr>
    </w:p>
    <w:p>
      <w:pPr>
        <w:spacing w:line="240" w:lineRule="auto"/>
        <w:ind w:left="6810" w:right="0" w:firstLine="0"/>
        <w:rPr>
          <w:rFonts w:ascii="Franklin Gothic Medium"/>
          <w:sz w:val="20"/>
        </w:rPr>
      </w:pPr>
      <w:r>
        <w:rPr>
          <w:rFonts w:ascii="Franklin Gothic Medium"/>
          <w:sz w:val="20"/>
        </w:rPr>
        <mc:AlternateContent>
          <mc:Choice Requires="wps">
            <w:drawing>
              <wp:inline distT="0" distB="0" distL="0" distR="0">
                <wp:extent cx="2008505" cy="548005"/>
                <wp:effectExtent l="0" t="0" r="0" b="4445"/>
                <wp:docPr id="5" name="Group 5"/>
                <wp:cNvGraphicFramePr>
                  <a:graphicFrameLocks/>
                </wp:cNvGraphicFramePr>
                <a:graphic>
                  <a:graphicData uri="http://schemas.microsoft.com/office/word/2010/wordprocessingGroup">
                    <wpg:wgp>
                      <wpg:cNvPr id="5" name="Group 5"/>
                      <wpg:cNvGrpSpPr/>
                      <wpg:grpSpPr>
                        <a:xfrm>
                          <a:off x="0" y="0"/>
                          <a:ext cx="2008505" cy="548005"/>
                          <a:chExt cx="2008505" cy="548005"/>
                        </a:xfrm>
                      </wpg:grpSpPr>
                      <pic:pic>
                        <pic:nvPicPr>
                          <pic:cNvPr id="6" name="Image 6"/>
                          <pic:cNvPicPr/>
                        </pic:nvPicPr>
                        <pic:blipFill>
                          <a:blip r:embed="rId10" cstate="print"/>
                          <a:stretch>
                            <a:fillRect/>
                          </a:stretch>
                        </pic:blipFill>
                        <pic:spPr>
                          <a:xfrm>
                            <a:off x="1075182" y="129349"/>
                            <a:ext cx="932700" cy="297370"/>
                          </a:xfrm>
                          <a:prstGeom prst="rect">
                            <a:avLst/>
                          </a:prstGeom>
                        </pic:spPr>
                      </pic:pic>
                      <pic:pic>
                        <pic:nvPicPr>
                          <pic:cNvPr id="7" name="Image 7"/>
                          <pic:cNvPicPr/>
                        </pic:nvPicPr>
                        <pic:blipFill>
                          <a:blip r:embed="rId11" cstate="print"/>
                          <a:stretch>
                            <a:fillRect/>
                          </a:stretch>
                        </pic:blipFill>
                        <pic:spPr>
                          <a:xfrm>
                            <a:off x="0" y="0"/>
                            <a:ext cx="1179169" cy="548004"/>
                          </a:xfrm>
                          <a:prstGeom prst="rect">
                            <a:avLst/>
                          </a:prstGeom>
                        </pic:spPr>
                      </pic:pic>
                    </wpg:wgp>
                  </a:graphicData>
                </a:graphic>
              </wp:inline>
            </w:drawing>
          </mc:Choice>
          <mc:Fallback>
            <w:pict>
              <v:group style="width:158.15pt;height:43.15pt;mso-position-horizontal-relative:char;mso-position-vertical-relative:line" id="docshapegroup4" coordorigin="0,0" coordsize="3163,863">
                <v:shape style="position:absolute;left:1693;top:203;width:1469;height:469" type="#_x0000_t75" id="docshape5" stroked="false">
                  <v:imagedata r:id="rId10" o:title=""/>
                </v:shape>
                <v:shape style="position:absolute;left:0;top:0;width:1857;height:863" type="#_x0000_t75" id="docshape6" stroked="false">
                  <v:imagedata r:id="rId11" o:title=""/>
                </v:shape>
              </v:group>
            </w:pict>
          </mc:Fallback>
        </mc:AlternateContent>
      </w:r>
      <w:r>
        <w:rPr>
          <w:rFonts w:ascii="Franklin Gothic Medium"/>
          <w:sz w:val="20"/>
        </w:rPr>
      </w:r>
    </w:p>
    <w:p>
      <w:pPr>
        <w:pStyle w:val="Heading1"/>
        <w:spacing w:before="176"/>
        <w:ind w:left="1411"/>
      </w:pPr>
      <w:r>
        <w:rPr>
          <w:w w:val="75"/>
        </w:rPr>
        <w:t>Patient</w:t>
      </w:r>
      <w:r>
        <w:rPr>
          <w:spacing w:val="12"/>
        </w:rPr>
        <w:t> </w:t>
      </w:r>
      <w:r>
        <w:rPr>
          <w:w w:val="75"/>
        </w:rPr>
        <w:t>Fall</w:t>
      </w:r>
      <w:r>
        <w:rPr>
          <w:spacing w:val="1"/>
        </w:rPr>
        <w:t> </w:t>
      </w:r>
      <w:r>
        <w:rPr>
          <w:w w:val="75"/>
        </w:rPr>
        <w:t>in</w:t>
      </w:r>
      <w:r>
        <w:rPr>
          <w:spacing w:val="14"/>
        </w:rPr>
        <w:t> </w:t>
      </w:r>
      <w:r>
        <w:rPr>
          <w:w w:val="75"/>
        </w:rPr>
        <w:t>the</w:t>
      </w:r>
      <w:r>
        <w:rPr>
          <w:spacing w:val="10"/>
        </w:rPr>
        <w:t> </w:t>
      </w:r>
      <w:r>
        <w:rPr>
          <w:w w:val="75"/>
        </w:rPr>
        <w:t>Hospital</w:t>
      </w:r>
      <w:r>
        <w:rPr>
          <w:spacing w:val="6"/>
        </w:rPr>
        <w:t> </w:t>
      </w:r>
      <w:r>
        <w:rPr>
          <w:w w:val="75"/>
        </w:rPr>
        <w:t>–</w:t>
      </w:r>
      <w:r>
        <w:rPr>
          <w:spacing w:val="8"/>
        </w:rPr>
        <w:t> </w:t>
      </w:r>
      <w:r>
        <w:rPr>
          <w:w w:val="75"/>
        </w:rPr>
        <w:t>Analysis</w:t>
      </w:r>
      <w:r>
        <w:rPr>
          <w:spacing w:val="10"/>
        </w:rPr>
        <w:t> </w:t>
      </w:r>
      <w:r>
        <w:rPr>
          <w:w w:val="75"/>
        </w:rPr>
        <w:t>&amp;</w:t>
      </w:r>
      <w:r>
        <w:rPr>
          <w:spacing w:val="13"/>
        </w:rPr>
        <w:t> </w:t>
      </w:r>
      <w:r>
        <w:rPr>
          <w:spacing w:val="-2"/>
          <w:w w:val="75"/>
        </w:rPr>
        <w:t>Interpretation</w:t>
      </w:r>
    </w:p>
    <w:p>
      <w:pPr>
        <w:pStyle w:val="BodyText"/>
        <w:rPr>
          <w:b/>
          <w:sz w:val="20"/>
        </w:rPr>
      </w:pPr>
    </w:p>
    <w:p>
      <w:pPr>
        <w:pStyle w:val="BodyText"/>
        <w:spacing w:before="32"/>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1"/>
        <w:gridCol w:w="7248"/>
      </w:tblGrid>
      <w:tr>
        <w:trPr>
          <w:trHeight w:val="2125" w:hRule="atLeast"/>
        </w:trPr>
        <w:tc>
          <w:tcPr>
            <w:tcW w:w="2461" w:type="dxa"/>
          </w:tcPr>
          <w:p>
            <w:pPr>
              <w:pStyle w:val="TableParagraph"/>
              <w:rPr>
                <w:rFonts w:ascii="Trebuchet MS"/>
                <w:b/>
                <w:sz w:val="22"/>
              </w:rPr>
            </w:pPr>
          </w:p>
          <w:p>
            <w:pPr>
              <w:pStyle w:val="TableParagraph"/>
              <w:spacing w:before="247"/>
              <w:rPr>
                <w:rFonts w:ascii="Trebuchet MS"/>
                <w:b/>
                <w:sz w:val="22"/>
              </w:rPr>
            </w:pPr>
          </w:p>
          <w:p>
            <w:pPr>
              <w:pStyle w:val="TableParagraph"/>
              <w:ind w:left="16"/>
              <w:jc w:val="center"/>
              <w:rPr>
                <w:rFonts w:ascii="Arial MT"/>
                <w:sz w:val="22"/>
              </w:rPr>
            </w:pPr>
            <w:r>
              <w:rPr>
                <w:rFonts w:ascii="Arial MT"/>
                <w:spacing w:val="-2"/>
                <w:sz w:val="22"/>
              </w:rPr>
              <w:t>Analysis</w:t>
            </w:r>
          </w:p>
        </w:tc>
        <w:tc>
          <w:tcPr>
            <w:tcW w:w="7248" w:type="dxa"/>
          </w:tcPr>
          <w:p>
            <w:pPr>
              <w:pStyle w:val="TableParagraph"/>
              <w:rPr>
                <w:rFonts w:ascii="Trebuchet MS"/>
                <w:b/>
                <w:sz w:val="20"/>
              </w:rPr>
            </w:pPr>
          </w:p>
          <w:p>
            <w:pPr>
              <w:pStyle w:val="TableParagraph"/>
              <w:spacing w:before="66" w:after="1"/>
              <w:rPr>
                <w:rFonts w:ascii="Trebuchet MS"/>
                <w:b/>
                <w:sz w:val="20"/>
              </w:rPr>
            </w:pPr>
          </w:p>
          <w:p>
            <w:pPr>
              <w:pStyle w:val="TableParagraph"/>
              <w:spacing w:line="20" w:lineRule="exact"/>
              <w:ind w:left="107"/>
              <w:rPr>
                <w:rFonts w:ascii="Trebuchet MS"/>
                <w:sz w:val="2"/>
              </w:rPr>
            </w:pPr>
            <w:r>
              <w:rPr>
                <w:rFonts w:ascii="Trebuchet MS"/>
                <w:sz w:val="2"/>
              </w:rPr>
              <mc:AlternateContent>
                <mc:Choice Requires="wps">
                  <w:drawing>
                    <wp:inline distT="0" distB="0" distL="0" distR="0">
                      <wp:extent cx="3891279" cy="9525"/>
                      <wp:effectExtent l="9525" t="0" r="4445" b="0"/>
                      <wp:docPr id="8" name="Group 8"/>
                      <wp:cNvGraphicFramePr>
                        <a:graphicFrameLocks/>
                      </wp:cNvGraphicFramePr>
                      <a:graphic>
                        <a:graphicData uri="http://schemas.microsoft.com/office/word/2010/wordprocessingGroup">
                          <wpg:wgp>
                            <wpg:cNvPr id="8" name="Group 8"/>
                            <wpg:cNvGrpSpPr/>
                            <wpg:grpSpPr>
                              <a:xfrm>
                                <a:off x="0" y="0"/>
                                <a:ext cx="3891279" cy="9525"/>
                                <a:chExt cx="3891279" cy="9525"/>
                              </a:xfrm>
                            </wpg:grpSpPr>
                            <wps:wsp>
                              <wps:cNvPr id="9" name="Graphic 9"/>
                              <wps:cNvSpPr/>
                              <wps:spPr>
                                <a:xfrm>
                                  <a:off x="0" y="4762"/>
                                  <a:ext cx="3891279" cy="1270"/>
                                </a:xfrm>
                                <a:custGeom>
                                  <a:avLst/>
                                  <a:gdLst/>
                                  <a:ahLst/>
                                  <a:cxnLst/>
                                  <a:rect l="l" t="t" r="r" b="b"/>
                                  <a:pathLst>
                                    <a:path w="3891279" h="0">
                                      <a:moveTo>
                                        <a:pt x="0" y="0"/>
                                      </a:moveTo>
                                      <a:lnTo>
                                        <a:pt x="389128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7"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spacing w:before="176" w:after="1"/>
              <w:rPr>
                <w:rFonts w:ascii="Trebuchet MS"/>
                <w:b/>
                <w:sz w:val="20"/>
              </w:rPr>
            </w:pPr>
          </w:p>
          <w:p>
            <w:pPr>
              <w:pStyle w:val="TableParagraph"/>
              <w:spacing w:line="20" w:lineRule="exact"/>
              <w:ind w:left="106"/>
              <w:rPr>
                <w:rFonts w:ascii="Trebuchet MS"/>
                <w:sz w:val="2"/>
              </w:rPr>
            </w:pPr>
            <w:r>
              <w:rPr>
                <w:rFonts w:ascii="Trebuchet MS"/>
                <w:sz w:val="2"/>
              </w:rPr>
              <mc:AlternateContent>
                <mc:Choice Requires="wps">
                  <w:drawing>
                    <wp:inline distT="0" distB="0" distL="0" distR="0">
                      <wp:extent cx="3891279" cy="9525"/>
                      <wp:effectExtent l="9525" t="0" r="4445" b="0"/>
                      <wp:docPr id="10" name="Group 10"/>
                      <wp:cNvGraphicFramePr>
                        <a:graphicFrameLocks/>
                      </wp:cNvGraphicFramePr>
                      <a:graphic>
                        <a:graphicData uri="http://schemas.microsoft.com/office/word/2010/wordprocessingGroup">
                          <wpg:wgp>
                            <wpg:cNvPr id="10" name="Group 10"/>
                            <wpg:cNvGrpSpPr/>
                            <wpg:grpSpPr>
                              <a:xfrm>
                                <a:off x="0" y="0"/>
                                <a:ext cx="3891279" cy="9525"/>
                                <a:chExt cx="3891279" cy="9525"/>
                              </a:xfrm>
                            </wpg:grpSpPr>
                            <wps:wsp>
                              <wps:cNvPr id="11" name="Graphic 11"/>
                              <wps:cNvSpPr/>
                              <wps:spPr>
                                <a:xfrm>
                                  <a:off x="0" y="4762"/>
                                  <a:ext cx="3891279" cy="1270"/>
                                </a:xfrm>
                                <a:custGeom>
                                  <a:avLst/>
                                  <a:gdLst/>
                                  <a:ahLst/>
                                  <a:cxnLst/>
                                  <a:rect l="l" t="t" r="r" b="b"/>
                                  <a:pathLst>
                                    <a:path w="3891279" h="0">
                                      <a:moveTo>
                                        <a:pt x="0" y="0"/>
                                      </a:moveTo>
                                      <a:lnTo>
                                        <a:pt x="389127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8"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rPr>
                <w:rFonts w:ascii="Trebuchet MS"/>
                <w:b/>
                <w:sz w:val="18"/>
              </w:rPr>
            </w:pPr>
          </w:p>
          <w:p>
            <w:pPr>
              <w:pStyle w:val="TableParagraph"/>
              <w:rPr>
                <w:rFonts w:ascii="Trebuchet MS"/>
                <w:b/>
                <w:sz w:val="18"/>
              </w:rPr>
            </w:pPr>
          </w:p>
          <w:p>
            <w:pPr>
              <w:pStyle w:val="TableParagraph"/>
              <w:spacing w:before="89"/>
              <w:rPr>
                <w:rFonts w:ascii="Trebuchet MS"/>
                <w:b/>
                <w:sz w:val="18"/>
              </w:rPr>
            </w:pPr>
          </w:p>
          <w:p>
            <w:pPr>
              <w:pStyle w:val="TableParagraph"/>
              <w:spacing w:line="200" w:lineRule="atLeast" w:before="1"/>
              <w:ind w:left="110" w:firstLine="35"/>
              <w:rPr>
                <w:rFonts w:ascii="Franklin Gothic Medium"/>
                <w:i/>
                <w:sz w:val="18"/>
              </w:rPr>
            </w:pPr>
            <w:r>
              <w:rPr>
                <w:rFonts w:ascii="Franklin Gothic Medium"/>
                <w:color w:val="404040"/>
                <w:w w:val="80"/>
                <w:sz w:val="18"/>
              </w:rPr>
              <w:t>(Note:</w:t>
            </w:r>
            <w:r>
              <w:rPr>
                <w:rFonts w:ascii="Franklin Gothic Medium"/>
                <w:color w:val="404040"/>
                <w:spacing w:val="-3"/>
                <w:w w:val="80"/>
                <w:sz w:val="18"/>
              </w:rPr>
              <w:t> </w:t>
            </w:r>
            <w:r>
              <w:rPr>
                <w:rFonts w:ascii="Franklin Gothic Medium"/>
                <w:i/>
                <w:color w:val="404040"/>
                <w:w w:val="80"/>
                <w:sz w:val="18"/>
              </w:rPr>
              <w:t>Possible</w:t>
            </w:r>
            <w:r>
              <w:rPr>
                <w:rFonts w:ascii="Franklin Gothic Medium"/>
                <w:i/>
                <w:color w:val="404040"/>
                <w:spacing w:val="8"/>
                <w:sz w:val="18"/>
              </w:rPr>
              <w:t> </w:t>
            </w:r>
            <w:r>
              <w:rPr>
                <w:rFonts w:ascii="Franklin Gothic Medium"/>
                <w:i/>
                <w:color w:val="404040"/>
                <w:w w:val="80"/>
                <w:sz w:val="18"/>
              </w:rPr>
              <w:t>causes,</w:t>
            </w:r>
            <w:r>
              <w:rPr>
                <w:rFonts w:ascii="Franklin Gothic Medium"/>
                <w:i/>
                <w:color w:val="404040"/>
                <w:spacing w:val="24"/>
                <w:sz w:val="18"/>
              </w:rPr>
              <w:t> </w:t>
            </w:r>
            <w:r>
              <w:rPr>
                <w:rFonts w:ascii="Franklin Gothic Medium"/>
                <w:i/>
                <w:color w:val="404040"/>
                <w:w w:val="80"/>
                <w:sz w:val="18"/>
              </w:rPr>
              <w:t>process</w:t>
            </w:r>
            <w:r>
              <w:rPr>
                <w:rFonts w:ascii="Franklin Gothic Medium"/>
                <w:i/>
                <w:color w:val="404040"/>
                <w:spacing w:val="36"/>
                <w:sz w:val="18"/>
              </w:rPr>
              <w:t> </w:t>
            </w:r>
            <w:r>
              <w:rPr>
                <w:rFonts w:ascii="Franklin Gothic Medium"/>
                <w:i/>
                <w:color w:val="404040"/>
                <w:w w:val="80"/>
                <w:sz w:val="18"/>
              </w:rPr>
              <w:t>deviations,</w:t>
            </w:r>
            <w:r>
              <w:rPr>
                <w:rFonts w:ascii="Franklin Gothic Medium"/>
                <w:i/>
                <w:color w:val="404040"/>
                <w:spacing w:val="15"/>
                <w:sz w:val="18"/>
              </w:rPr>
              <w:t> </w:t>
            </w:r>
            <w:r>
              <w:rPr>
                <w:rFonts w:ascii="Franklin Gothic Medium"/>
                <w:i/>
                <w:color w:val="404040"/>
                <w:w w:val="80"/>
                <w:sz w:val="18"/>
              </w:rPr>
              <w:t>etc.)</w:t>
            </w:r>
            <w:r>
              <w:rPr>
                <w:rFonts w:ascii="Franklin Gothic Medium"/>
                <w:i/>
                <w:color w:val="404040"/>
                <w:spacing w:val="-3"/>
                <w:w w:val="80"/>
                <w:sz w:val="18"/>
              </w:rPr>
              <w:t> </w:t>
            </w:r>
            <w:r>
              <w:rPr>
                <w:rFonts w:ascii="Franklin Gothic Medium"/>
                <w:i/>
                <w:color w:val="404040"/>
                <w:w w:val="80"/>
                <w:sz w:val="18"/>
              </w:rPr>
              <w:t>A process that</w:t>
            </w:r>
            <w:r>
              <w:rPr>
                <w:rFonts w:ascii="Franklin Gothic Medium"/>
                <w:i/>
                <w:color w:val="404040"/>
                <w:sz w:val="18"/>
              </w:rPr>
              <w:t> </w:t>
            </w:r>
            <w:r>
              <w:rPr>
                <w:rFonts w:ascii="Franklin Gothic Medium"/>
                <w:i/>
                <w:color w:val="404040"/>
                <w:w w:val="80"/>
                <w:sz w:val="18"/>
              </w:rPr>
              <w:t>helps organizations</w:t>
            </w:r>
            <w:r>
              <w:rPr>
                <w:rFonts w:ascii="Franklin Gothic Medium"/>
                <w:i/>
                <w:color w:val="404040"/>
                <w:sz w:val="18"/>
              </w:rPr>
              <w:t> </w:t>
            </w:r>
            <w:r>
              <w:rPr>
                <w:rFonts w:ascii="Franklin Gothic Medium"/>
                <w:i/>
                <w:color w:val="404040"/>
                <w:w w:val="80"/>
                <w:sz w:val="18"/>
              </w:rPr>
              <w:t>investigate</w:t>
            </w:r>
            <w:r>
              <w:rPr>
                <w:rFonts w:ascii="Franklin Gothic Medium"/>
                <w:i/>
                <w:color w:val="404040"/>
                <w:spacing w:val="-7"/>
                <w:w w:val="80"/>
                <w:sz w:val="18"/>
              </w:rPr>
              <w:t> </w:t>
            </w:r>
            <w:r>
              <w:rPr>
                <w:rFonts w:ascii="Franklin Gothic Medium"/>
                <w:i/>
                <w:color w:val="404040"/>
                <w:w w:val="80"/>
                <w:sz w:val="18"/>
              </w:rPr>
              <w:t>the</w:t>
            </w:r>
            <w:r>
              <w:rPr>
                <w:rFonts w:ascii="Franklin Gothic Medium"/>
                <w:i/>
                <w:color w:val="404040"/>
                <w:spacing w:val="-3"/>
                <w:w w:val="80"/>
                <w:sz w:val="18"/>
              </w:rPr>
              <w:t> </w:t>
            </w:r>
            <w:r>
              <w:rPr>
                <w:rFonts w:ascii="Franklin Gothic Medium"/>
                <w:i/>
                <w:color w:val="404040"/>
                <w:w w:val="80"/>
                <w:sz w:val="18"/>
              </w:rPr>
              <w:t>cause</w:t>
            </w:r>
            <w:r>
              <w:rPr>
                <w:rFonts w:ascii="Franklin Gothic Medium"/>
                <w:i/>
                <w:color w:val="404040"/>
                <w:spacing w:val="-2"/>
                <w:w w:val="80"/>
                <w:sz w:val="18"/>
              </w:rPr>
              <w:t> </w:t>
            </w:r>
            <w:r>
              <w:rPr>
                <w:rFonts w:ascii="Franklin Gothic Medium"/>
                <w:i/>
                <w:color w:val="404040"/>
                <w:w w:val="80"/>
                <w:sz w:val="18"/>
              </w:rPr>
              <w:t>of an</w:t>
            </w:r>
            <w:r>
              <w:rPr>
                <w:rFonts w:ascii="Franklin Gothic Medium"/>
                <w:i/>
                <w:color w:val="404040"/>
                <w:sz w:val="18"/>
              </w:rPr>
              <w:t> </w:t>
            </w:r>
            <w:r>
              <w:rPr>
                <w:rFonts w:ascii="Franklin Gothic Medium"/>
                <w:i/>
                <w:color w:val="404040"/>
                <w:w w:val="80"/>
                <w:sz w:val="18"/>
              </w:rPr>
              <w:t>incident,</w:t>
            </w:r>
            <w:r>
              <w:rPr>
                <w:rFonts w:ascii="Franklin Gothic Medium"/>
                <w:i/>
                <w:color w:val="404040"/>
                <w:sz w:val="18"/>
              </w:rPr>
              <w:t> </w:t>
            </w:r>
            <w:r>
              <w:rPr>
                <w:rFonts w:ascii="Franklin Gothic Medium"/>
                <w:i/>
                <w:color w:val="404040"/>
                <w:w w:val="80"/>
                <w:sz w:val="18"/>
              </w:rPr>
              <w:t>determine</w:t>
            </w:r>
            <w:r>
              <w:rPr>
                <w:rFonts w:ascii="Franklin Gothic Medium"/>
                <w:i/>
                <w:color w:val="404040"/>
                <w:sz w:val="18"/>
              </w:rPr>
              <w:t> </w:t>
            </w:r>
            <w:r>
              <w:rPr>
                <w:rFonts w:ascii="Franklin Gothic Medium"/>
                <w:i/>
                <w:color w:val="404040"/>
                <w:w w:val="80"/>
                <w:sz w:val="18"/>
              </w:rPr>
              <w:t>its</w:t>
            </w:r>
            <w:r>
              <w:rPr>
                <w:rFonts w:ascii="Franklin Gothic Medium"/>
                <w:i/>
                <w:color w:val="404040"/>
                <w:sz w:val="18"/>
              </w:rPr>
              <w:t> </w:t>
            </w:r>
            <w:r>
              <w:rPr>
                <w:rFonts w:ascii="Franklin Gothic Medium"/>
                <w:i/>
                <w:color w:val="404040"/>
                <w:w w:val="80"/>
                <w:sz w:val="18"/>
              </w:rPr>
              <w:t>impact, and</w:t>
            </w:r>
            <w:r>
              <w:rPr>
                <w:rFonts w:ascii="Franklin Gothic Medium"/>
                <w:i/>
                <w:color w:val="404040"/>
                <w:spacing w:val="40"/>
                <w:sz w:val="18"/>
              </w:rPr>
              <w:t> </w:t>
            </w:r>
            <w:r>
              <w:rPr>
                <w:rFonts w:ascii="Franklin Gothic Medium"/>
                <w:i/>
                <w:color w:val="404040"/>
                <w:w w:val="80"/>
                <w:sz w:val="18"/>
              </w:rPr>
              <w:t>identify strategies to</w:t>
            </w:r>
            <w:r>
              <w:rPr>
                <w:rFonts w:ascii="Franklin Gothic Medium"/>
                <w:i/>
                <w:color w:val="404040"/>
                <w:sz w:val="18"/>
              </w:rPr>
              <w:t> </w:t>
            </w:r>
            <w:r>
              <w:rPr>
                <w:rFonts w:ascii="Franklin Gothic Medium"/>
                <w:i/>
                <w:color w:val="404040"/>
                <w:w w:val="80"/>
                <w:sz w:val="18"/>
              </w:rPr>
              <w:t>prevent similar</w:t>
            </w:r>
            <w:r>
              <w:rPr>
                <w:rFonts w:ascii="Franklin Gothic Medium"/>
                <w:i/>
                <w:color w:val="404040"/>
                <w:sz w:val="18"/>
              </w:rPr>
              <w:t> </w:t>
            </w:r>
            <w:r>
              <w:rPr>
                <w:rFonts w:ascii="Franklin Gothic Medium"/>
                <w:i/>
                <w:color w:val="404040"/>
                <w:w w:val="80"/>
                <w:sz w:val="18"/>
              </w:rPr>
              <w:t>occurrences</w:t>
            </w:r>
            <w:r>
              <w:rPr>
                <w:rFonts w:ascii="Franklin Gothic Medium"/>
                <w:i/>
                <w:color w:val="404040"/>
                <w:sz w:val="18"/>
              </w:rPr>
              <w:t> </w:t>
            </w:r>
            <w:r>
              <w:rPr>
                <w:rFonts w:ascii="Franklin Gothic Medium"/>
                <w:i/>
                <w:color w:val="404040"/>
                <w:w w:val="80"/>
                <w:sz w:val="18"/>
              </w:rPr>
              <w:t>in the</w:t>
            </w:r>
            <w:r>
              <w:rPr>
                <w:rFonts w:ascii="Franklin Gothic Medium"/>
                <w:i/>
                <w:color w:val="404040"/>
                <w:sz w:val="18"/>
              </w:rPr>
              <w:t> </w:t>
            </w:r>
            <w:r>
              <w:rPr>
                <w:rFonts w:ascii="Franklin Gothic Medium"/>
                <w:i/>
                <w:color w:val="404040"/>
                <w:w w:val="80"/>
                <w:sz w:val="18"/>
              </w:rPr>
              <w:t>future.)</w:t>
            </w:r>
          </w:p>
        </w:tc>
      </w:tr>
      <w:tr>
        <w:trPr>
          <w:trHeight w:val="2075" w:hRule="atLeast"/>
        </w:trPr>
        <w:tc>
          <w:tcPr>
            <w:tcW w:w="2461" w:type="dxa"/>
          </w:tcPr>
          <w:p>
            <w:pPr>
              <w:pStyle w:val="TableParagraph"/>
              <w:spacing w:before="243"/>
              <w:rPr>
                <w:rFonts w:ascii="Trebuchet MS"/>
                <w:b/>
                <w:sz w:val="22"/>
              </w:rPr>
            </w:pPr>
          </w:p>
          <w:p>
            <w:pPr>
              <w:pStyle w:val="TableParagraph"/>
              <w:ind w:left="16"/>
              <w:jc w:val="center"/>
              <w:rPr>
                <w:rFonts w:ascii="Arial MT"/>
                <w:sz w:val="22"/>
              </w:rPr>
            </w:pPr>
            <w:r>
              <w:rPr>
                <w:rFonts w:ascii="Arial MT"/>
                <w:w w:val="80"/>
                <w:sz w:val="22"/>
              </w:rPr>
              <w:t>Corrective</w:t>
            </w:r>
            <w:r>
              <w:rPr>
                <w:rFonts w:ascii="Arial MT"/>
                <w:spacing w:val="2"/>
                <w:sz w:val="22"/>
              </w:rPr>
              <w:t> </w:t>
            </w:r>
            <w:r>
              <w:rPr>
                <w:rFonts w:ascii="Arial MT"/>
                <w:spacing w:val="-2"/>
                <w:w w:val="90"/>
                <w:sz w:val="22"/>
              </w:rPr>
              <w:t>Actions</w:t>
            </w:r>
          </w:p>
        </w:tc>
        <w:tc>
          <w:tcPr>
            <w:tcW w:w="7248" w:type="dxa"/>
          </w:tcPr>
          <w:p>
            <w:pPr>
              <w:pStyle w:val="TableParagraph"/>
              <w:spacing w:before="225" w:after="1"/>
              <w:rPr>
                <w:rFonts w:ascii="Trebuchet MS"/>
                <w:b/>
                <w:sz w:val="20"/>
              </w:rPr>
            </w:pPr>
          </w:p>
          <w:p>
            <w:pPr>
              <w:pStyle w:val="TableParagraph"/>
              <w:spacing w:line="20" w:lineRule="exact"/>
              <w:ind w:left="106"/>
              <w:rPr>
                <w:rFonts w:ascii="Trebuchet MS"/>
                <w:sz w:val="2"/>
              </w:rPr>
            </w:pPr>
            <w:r>
              <w:rPr>
                <w:rFonts w:ascii="Trebuchet MS"/>
                <w:sz w:val="2"/>
              </w:rPr>
              <mc:AlternateContent>
                <mc:Choice Requires="wps">
                  <w:drawing>
                    <wp:inline distT="0" distB="0" distL="0" distR="0">
                      <wp:extent cx="3891279" cy="9525"/>
                      <wp:effectExtent l="9525" t="0" r="4445" b="0"/>
                      <wp:docPr id="12" name="Group 12"/>
                      <wp:cNvGraphicFramePr>
                        <a:graphicFrameLocks/>
                      </wp:cNvGraphicFramePr>
                      <a:graphic>
                        <a:graphicData uri="http://schemas.microsoft.com/office/word/2010/wordprocessingGroup">
                          <wpg:wgp>
                            <wpg:cNvPr id="12" name="Group 12"/>
                            <wpg:cNvGrpSpPr/>
                            <wpg:grpSpPr>
                              <a:xfrm>
                                <a:off x="0" y="0"/>
                                <a:ext cx="3891279" cy="9525"/>
                                <a:chExt cx="3891279" cy="9525"/>
                              </a:xfrm>
                            </wpg:grpSpPr>
                            <wps:wsp>
                              <wps:cNvPr id="13" name="Graphic 13"/>
                              <wps:cNvSpPr/>
                              <wps:spPr>
                                <a:xfrm>
                                  <a:off x="0" y="4762"/>
                                  <a:ext cx="3891279" cy="1270"/>
                                </a:xfrm>
                                <a:custGeom>
                                  <a:avLst/>
                                  <a:gdLst/>
                                  <a:ahLst/>
                                  <a:cxnLst/>
                                  <a:rect l="l" t="t" r="r" b="b"/>
                                  <a:pathLst>
                                    <a:path w="3891279" h="0">
                                      <a:moveTo>
                                        <a:pt x="0" y="0"/>
                                      </a:moveTo>
                                      <a:lnTo>
                                        <a:pt x="389127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9"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spacing w:before="208"/>
              <w:rPr>
                <w:rFonts w:ascii="Trebuchet MS"/>
                <w:b/>
                <w:sz w:val="20"/>
              </w:rPr>
            </w:pPr>
          </w:p>
          <w:p>
            <w:pPr>
              <w:pStyle w:val="TableParagraph"/>
              <w:spacing w:line="20" w:lineRule="exact"/>
              <w:ind w:left="106"/>
              <w:rPr>
                <w:rFonts w:ascii="Trebuchet MS"/>
                <w:sz w:val="2"/>
              </w:rPr>
            </w:pPr>
            <w:r>
              <w:rPr>
                <w:rFonts w:ascii="Trebuchet MS"/>
                <w:sz w:val="2"/>
              </w:rPr>
              <mc:AlternateContent>
                <mc:Choice Requires="wps">
                  <w:drawing>
                    <wp:inline distT="0" distB="0" distL="0" distR="0">
                      <wp:extent cx="3891279" cy="9525"/>
                      <wp:effectExtent l="9525" t="0" r="4445" b="0"/>
                      <wp:docPr id="14" name="Group 14"/>
                      <wp:cNvGraphicFramePr>
                        <a:graphicFrameLocks/>
                      </wp:cNvGraphicFramePr>
                      <a:graphic>
                        <a:graphicData uri="http://schemas.microsoft.com/office/word/2010/wordprocessingGroup">
                          <wpg:wgp>
                            <wpg:cNvPr id="14" name="Group 14"/>
                            <wpg:cNvGrpSpPr/>
                            <wpg:grpSpPr>
                              <a:xfrm>
                                <a:off x="0" y="0"/>
                                <a:ext cx="3891279" cy="9525"/>
                                <a:chExt cx="3891279" cy="9525"/>
                              </a:xfrm>
                            </wpg:grpSpPr>
                            <wps:wsp>
                              <wps:cNvPr id="15" name="Graphic 15"/>
                              <wps:cNvSpPr/>
                              <wps:spPr>
                                <a:xfrm>
                                  <a:off x="0" y="4762"/>
                                  <a:ext cx="3891279" cy="1270"/>
                                </a:xfrm>
                                <a:custGeom>
                                  <a:avLst/>
                                  <a:gdLst/>
                                  <a:ahLst/>
                                  <a:cxnLst/>
                                  <a:rect l="l" t="t" r="r" b="b"/>
                                  <a:pathLst>
                                    <a:path w="3891279" h="0">
                                      <a:moveTo>
                                        <a:pt x="0" y="0"/>
                                      </a:moveTo>
                                      <a:lnTo>
                                        <a:pt x="389127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10"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rPr>
                <w:rFonts w:ascii="Trebuchet MS"/>
                <w:b/>
                <w:sz w:val="18"/>
              </w:rPr>
            </w:pPr>
          </w:p>
          <w:p>
            <w:pPr>
              <w:pStyle w:val="TableParagraph"/>
              <w:spacing w:before="8"/>
              <w:rPr>
                <w:rFonts w:ascii="Trebuchet MS"/>
                <w:b/>
                <w:sz w:val="18"/>
              </w:rPr>
            </w:pPr>
          </w:p>
          <w:p>
            <w:pPr>
              <w:pStyle w:val="TableParagraph"/>
              <w:spacing w:line="230" w:lineRule="exact"/>
              <w:ind w:left="110" w:right="1392"/>
              <w:rPr>
                <w:rFonts w:ascii="Franklin Gothic Medium"/>
                <w:i/>
                <w:sz w:val="18"/>
              </w:rPr>
            </w:pPr>
            <w:r>
              <w:rPr>
                <w:rFonts w:ascii="Franklin Gothic Medium"/>
                <w:i/>
                <w:color w:val="404040"/>
                <w:w w:val="80"/>
                <w:sz w:val="18"/>
              </w:rPr>
              <w:t>(Note: A Corrective Action</w:t>
            </w:r>
            <w:r>
              <w:rPr>
                <w:rFonts w:ascii="Franklin Gothic Medium"/>
                <w:i/>
                <w:color w:val="404040"/>
                <w:sz w:val="18"/>
              </w:rPr>
              <w:t> </w:t>
            </w:r>
            <w:r>
              <w:rPr>
                <w:rFonts w:ascii="Franklin Gothic Medium"/>
                <w:i/>
                <w:color w:val="404040"/>
                <w:w w:val="80"/>
                <w:sz w:val="18"/>
              </w:rPr>
              <w:t>is</w:t>
            </w:r>
            <w:r>
              <w:rPr>
                <w:rFonts w:ascii="Franklin Gothic Medium"/>
                <w:i/>
                <w:color w:val="404040"/>
                <w:sz w:val="18"/>
              </w:rPr>
              <w:t> </w:t>
            </w:r>
            <w:r>
              <w:rPr>
                <w:rFonts w:ascii="Franklin Gothic Medium"/>
                <w:i/>
                <w:color w:val="404040"/>
                <w:w w:val="80"/>
                <w:sz w:val="18"/>
              </w:rPr>
              <w:t>a measure</w:t>
            </w:r>
            <w:r>
              <w:rPr>
                <w:rFonts w:ascii="Franklin Gothic Medium"/>
                <w:i/>
                <w:color w:val="404040"/>
                <w:sz w:val="18"/>
              </w:rPr>
              <w:t> </w:t>
            </w:r>
            <w:r>
              <w:rPr>
                <w:rFonts w:ascii="Franklin Gothic Medium"/>
                <w:i/>
                <w:color w:val="404040"/>
                <w:w w:val="80"/>
                <w:sz w:val="18"/>
              </w:rPr>
              <w:t>implemented in a workplace to combat the</w:t>
            </w:r>
            <w:r>
              <w:rPr>
                <w:rFonts w:ascii="Franklin Gothic Medium"/>
                <w:i/>
                <w:color w:val="404040"/>
                <w:sz w:val="18"/>
              </w:rPr>
              <w:t> </w:t>
            </w:r>
            <w:r>
              <w:rPr>
                <w:rFonts w:ascii="Franklin Gothic Medium"/>
                <w:i/>
                <w:color w:val="404040"/>
                <w:w w:val="80"/>
                <w:sz w:val="18"/>
              </w:rPr>
              <w:t>reoccurrence of incidents</w:t>
            </w:r>
            <w:r>
              <w:rPr>
                <w:rFonts w:ascii="Franklin Gothic Medium"/>
                <w:i/>
                <w:color w:val="404040"/>
                <w:spacing w:val="40"/>
                <w:sz w:val="18"/>
              </w:rPr>
              <w:t> </w:t>
            </w:r>
            <w:r>
              <w:rPr>
                <w:rFonts w:ascii="Franklin Gothic Medium"/>
                <w:i/>
                <w:color w:val="404040"/>
                <w:w w:val="80"/>
                <w:sz w:val="18"/>
              </w:rPr>
              <w:t>that may lead to injuries, destruction, and ruining the public</w:t>
            </w:r>
            <w:r>
              <w:rPr>
                <w:rFonts w:ascii="Franklin Gothic Medium"/>
                <w:i/>
                <w:color w:val="404040"/>
                <w:sz w:val="18"/>
              </w:rPr>
              <w:t> </w:t>
            </w:r>
            <w:r>
              <w:rPr>
                <w:rFonts w:ascii="Franklin Gothic Medium"/>
                <w:i/>
                <w:color w:val="404040"/>
                <w:w w:val="85"/>
                <w:sz w:val="18"/>
              </w:rPr>
              <w:t>image. It eliminates the root causes of problems that have already occurred.)</w:t>
            </w:r>
          </w:p>
        </w:tc>
      </w:tr>
      <w:tr>
        <w:trPr>
          <w:trHeight w:val="1955" w:hRule="atLeast"/>
        </w:trPr>
        <w:tc>
          <w:tcPr>
            <w:tcW w:w="2461" w:type="dxa"/>
          </w:tcPr>
          <w:p>
            <w:pPr>
              <w:pStyle w:val="TableParagraph"/>
              <w:spacing w:before="253"/>
              <w:rPr>
                <w:rFonts w:ascii="Trebuchet MS"/>
                <w:b/>
                <w:sz w:val="22"/>
              </w:rPr>
            </w:pPr>
          </w:p>
          <w:p>
            <w:pPr>
              <w:pStyle w:val="TableParagraph"/>
              <w:ind w:left="16"/>
              <w:jc w:val="center"/>
              <w:rPr>
                <w:rFonts w:ascii="Arial MT"/>
                <w:sz w:val="22"/>
              </w:rPr>
            </w:pPr>
            <w:r>
              <w:rPr>
                <w:rFonts w:ascii="Arial MT"/>
                <w:w w:val="80"/>
                <w:sz w:val="22"/>
              </w:rPr>
              <w:t>Preventive</w:t>
            </w:r>
            <w:r>
              <w:rPr>
                <w:rFonts w:ascii="Arial MT"/>
                <w:spacing w:val="-1"/>
                <w:sz w:val="22"/>
              </w:rPr>
              <w:t> </w:t>
            </w:r>
            <w:r>
              <w:rPr>
                <w:rFonts w:ascii="Arial MT"/>
                <w:spacing w:val="-2"/>
                <w:w w:val="90"/>
                <w:sz w:val="22"/>
              </w:rPr>
              <w:t>Actions</w:t>
            </w:r>
          </w:p>
        </w:tc>
        <w:tc>
          <w:tcPr>
            <w:tcW w:w="7248" w:type="dxa"/>
          </w:tcPr>
          <w:p>
            <w:pPr>
              <w:pStyle w:val="TableParagraph"/>
              <w:spacing w:before="224"/>
              <w:rPr>
                <w:rFonts w:ascii="Trebuchet MS"/>
                <w:b/>
                <w:sz w:val="20"/>
              </w:rPr>
            </w:pPr>
          </w:p>
          <w:p>
            <w:pPr>
              <w:pStyle w:val="TableParagraph"/>
              <w:spacing w:line="20" w:lineRule="exact"/>
              <w:ind w:left="106"/>
              <w:rPr>
                <w:rFonts w:ascii="Trebuchet MS"/>
                <w:sz w:val="2"/>
              </w:rPr>
            </w:pPr>
            <w:r>
              <w:rPr>
                <w:rFonts w:ascii="Trebuchet MS"/>
                <w:sz w:val="2"/>
              </w:rPr>
              <mc:AlternateContent>
                <mc:Choice Requires="wps">
                  <w:drawing>
                    <wp:inline distT="0" distB="0" distL="0" distR="0">
                      <wp:extent cx="3891279" cy="9525"/>
                      <wp:effectExtent l="9525" t="0" r="4445" b="0"/>
                      <wp:docPr id="16" name="Group 16"/>
                      <wp:cNvGraphicFramePr>
                        <a:graphicFrameLocks/>
                      </wp:cNvGraphicFramePr>
                      <a:graphic>
                        <a:graphicData uri="http://schemas.microsoft.com/office/word/2010/wordprocessingGroup">
                          <wpg:wgp>
                            <wpg:cNvPr id="16" name="Group 16"/>
                            <wpg:cNvGrpSpPr/>
                            <wpg:grpSpPr>
                              <a:xfrm>
                                <a:off x="0" y="0"/>
                                <a:ext cx="3891279" cy="9525"/>
                                <a:chExt cx="3891279" cy="9525"/>
                              </a:xfrm>
                            </wpg:grpSpPr>
                            <wps:wsp>
                              <wps:cNvPr id="17" name="Graphic 17"/>
                              <wps:cNvSpPr/>
                              <wps:spPr>
                                <a:xfrm>
                                  <a:off x="0" y="4762"/>
                                  <a:ext cx="3891279" cy="1270"/>
                                </a:xfrm>
                                <a:custGeom>
                                  <a:avLst/>
                                  <a:gdLst/>
                                  <a:ahLst/>
                                  <a:cxnLst/>
                                  <a:rect l="l" t="t" r="r" b="b"/>
                                  <a:pathLst>
                                    <a:path w="3891279" h="0">
                                      <a:moveTo>
                                        <a:pt x="0" y="0"/>
                                      </a:moveTo>
                                      <a:lnTo>
                                        <a:pt x="389127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11"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spacing w:before="208"/>
              <w:rPr>
                <w:rFonts w:ascii="Trebuchet MS"/>
                <w:b/>
                <w:sz w:val="20"/>
              </w:rPr>
            </w:pPr>
          </w:p>
          <w:p>
            <w:pPr>
              <w:pStyle w:val="TableParagraph"/>
              <w:spacing w:line="20" w:lineRule="exact"/>
              <w:ind w:left="106"/>
              <w:rPr>
                <w:rFonts w:ascii="Trebuchet MS"/>
                <w:sz w:val="2"/>
              </w:rPr>
            </w:pPr>
            <w:r>
              <w:rPr>
                <w:rFonts w:ascii="Trebuchet MS"/>
                <w:sz w:val="2"/>
              </w:rPr>
              <mc:AlternateContent>
                <mc:Choice Requires="wps">
                  <w:drawing>
                    <wp:inline distT="0" distB="0" distL="0" distR="0">
                      <wp:extent cx="3891279" cy="9525"/>
                      <wp:effectExtent l="9525" t="0" r="4445" b="0"/>
                      <wp:docPr id="18" name="Group 18"/>
                      <wp:cNvGraphicFramePr>
                        <a:graphicFrameLocks/>
                      </wp:cNvGraphicFramePr>
                      <a:graphic>
                        <a:graphicData uri="http://schemas.microsoft.com/office/word/2010/wordprocessingGroup">
                          <wpg:wgp>
                            <wpg:cNvPr id="18" name="Group 18"/>
                            <wpg:cNvGrpSpPr/>
                            <wpg:grpSpPr>
                              <a:xfrm>
                                <a:off x="0" y="0"/>
                                <a:ext cx="3891279" cy="9525"/>
                                <a:chExt cx="3891279" cy="9525"/>
                              </a:xfrm>
                            </wpg:grpSpPr>
                            <wps:wsp>
                              <wps:cNvPr id="19" name="Graphic 19"/>
                              <wps:cNvSpPr/>
                              <wps:spPr>
                                <a:xfrm>
                                  <a:off x="0" y="4762"/>
                                  <a:ext cx="3891279" cy="1270"/>
                                </a:xfrm>
                                <a:custGeom>
                                  <a:avLst/>
                                  <a:gdLst/>
                                  <a:ahLst/>
                                  <a:cxnLst/>
                                  <a:rect l="l" t="t" r="r" b="b"/>
                                  <a:pathLst>
                                    <a:path w="3891279" h="0">
                                      <a:moveTo>
                                        <a:pt x="0" y="0"/>
                                      </a:moveTo>
                                      <a:lnTo>
                                        <a:pt x="389127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06.4pt;height:.75pt;mso-position-horizontal-relative:char;mso-position-vertical-relative:line" id="docshapegroup12" coordorigin="0,0" coordsize="6128,15">
                      <v:line style="position:absolute" from="0,8" to="6128,8" stroked="true" strokeweight=".75pt" strokecolor="#000000">
                        <v:stroke dashstyle="solid"/>
                      </v:line>
                    </v:group>
                  </w:pict>
                </mc:Fallback>
              </mc:AlternateContent>
            </w:r>
            <w:r>
              <w:rPr>
                <w:rFonts w:ascii="Trebuchet MS"/>
                <w:sz w:val="2"/>
              </w:rPr>
            </w:r>
          </w:p>
          <w:p>
            <w:pPr>
              <w:pStyle w:val="TableParagraph"/>
              <w:rPr>
                <w:rFonts w:ascii="Trebuchet MS"/>
                <w:b/>
                <w:sz w:val="18"/>
              </w:rPr>
            </w:pPr>
          </w:p>
          <w:p>
            <w:pPr>
              <w:pStyle w:val="TableParagraph"/>
              <w:spacing w:before="160"/>
              <w:rPr>
                <w:rFonts w:ascii="Trebuchet MS"/>
                <w:b/>
                <w:sz w:val="18"/>
              </w:rPr>
            </w:pPr>
          </w:p>
          <w:p>
            <w:pPr>
              <w:pStyle w:val="TableParagraph"/>
              <w:spacing w:line="210" w:lineRule="atLeast"/>
              <w:ind w:left="110" w:right="1392"/>
              <w:rPr>
                <w:rFonts w:ascii="Franklin Gothic Medium"/>
                <w:sz w:val="18"/>
              </w:rPr>
            </w:pPr>
            <w:r>
              <w:rPr>
                <w:rFonts w:ascii="Franklin Gothic Medium"/>
                <w:i/>
                <w:color w:val="404040"/>
                <w:w w:val="80"/>
                <w:sz w:val="18"/>
              </w:rPr>
              <w:t>(Note:</w:t>
            </w:r>
            <w:r>
              <w:rPr>
                <w:rFonts w:ascii="Franklin Gothic Medium"/>
                <w:i/>
                <w:color w:val="404040"/>
                <w:spacing w:val="-3"/>
                <w:w w:val="80"/>
                <w:sz w:val="18"/>
              </w:rPr>
              <w:t> </w:t>
            </w:r>
            <w:r>
              <w:rPr>
                <w:rFonts w:ascii="Franklin Gothic Medium"/>
                <w:color w:val="404040"/>
                <w:w w:val="80"/>
                <w:sz w:val="18"/>
              </w:rPr>
              <w:t>Preventive</w:t>
            </w:r>
            <w:r>
              <w:rPr>
                <w:rFonts w:ascii="Franklin Gothic Medium"/>
                <w:color w:val="404040"/>
                <w:spacing w:val="-2"/>
                <w:w w:val="80"/>
                <w:sz w:val="18"/>
              </w:rPr>
              <w:t> </w:t>
            </w:r>
            <w:r>
              <w:rPr>
                <w:rFonts w:ascii="Franklin Gothic Medium"/>
                <w:color w:val="404040"/>
                <w:w w:val="80"/>
                <w:sz w:val="18"/>
              </w:rPr>
              <w:t>action</w:t>
            </w:r>
            <w:r>
              <w:rPr>
                <w:rFonts w:ascii="Franklin Gothic Medium"/>
                <w:color w:val="404040"/>
                <w:spacing w:val="-7"/>
                <w:sz w:val="18"/>
              </w:rPr>
              <w:t> </w:t>
            </w:r>
            <w:r>
              <w:rPr>
                <w:rFonts w:ascii="Franklin Gothic Medium"/>
                <w:color w:val="404040"/>
                <w:w w:val="80"/>
                <w:sz w:val="18"/>
              </w:rPr>
              <w:t>is</w:t>
            </w:r>
            <w:r>
              <w:rPr>
                <w:rFonts w:ascii="Franklin Gothic Medium"/>
                <w:color w:val="404040"/>
                <w:spacing w:val="-2"/>
                <w:sz w:val="18"/>
              </w:rPr>
              <w:t> </w:t>
            </w:r>
            <w:r>
              <w:rPr>
                <w:rFonts w:ascii="Franklin Gothic Medium"/>
                <w:color w:val="404040"/>
                <w:w w:val="80"/>
                <w:sz w:val="18"/>
              </w:rPr>
              <w:t>a</w:t>
            </w:r>
            <w:r>
              <w:rPr>
                <w:rFonts w:ascii="Franklin Gothic Medium"/>
                <w:color w:val="404040"/>
                <w:spacing w:val="-4"/>
                <w:w w:val="80"/>
                <w:sz w:val="18"/>
              </w:rPr>
              <w:t> </w:t>
            </w:r>
            <w:r>
              <w:rPr>
                <w:rFonts w:ascii="Franklin Gothic Medium"/>
                <w:color w:val="404040"/>
                <w:w w:val="80"/>
                <w:sz w:val="18"/>
              </w:rPr>
              <w:t>system</w:t>
            </w:r>
            <w:r>
              <w:rPr>
                <w:rFonts w:ascii="Franklin Gothic Medium"/>
                <w:color w:val="404040"/>
                <w:spacing w:val="-3"/>
                <w:w w:val="80"/>
                <w:sz w:val="18"/>
              </w:rPr>
              <w:t> </w:t>
            </w:r>
            <w:r>
              <w:rPr>
                <w:rFonts w:ascii="Franklin Gothic Medium"/>
                <w:color w:val="404040"/>
                <w:w w:val="80"/>
                <w:sz w:val="18"/>
              </w:rPr>
              <w:t>to</w:t>
            </w:r>
            <w:r>
              <w:rPr>
                <w:rFonts w:ascii="Franklin Gothic Medium"/>
                <w:color w:val="404040"/>
                <w:spacing w:val="-2"/>
                <w:sz w:val="18"/>
              </w:rPr>
              <w:t> </w:t>
            </w:r>
            <w:r>
              <w:rPr>
                <w:rFonts w:ascii="Franklin Gothic Medium"/>
                <w:color w:val="404040"/>
                <w:w w:val="80"/>
                <w:sz w:val="18"/>
              </w:rPr>
              <w:t>eliminate</w:t>
            </w:r>
            <w:r>
              <w:rPr>
                <w:rFonts w:ascii="Franklin Gothic Medium"/>
                <w:color w:val="404040"/>
                <w:spacing w:val="-3"/>
                <w:w w:val="80"/>
                <w:sz w:val="18"/>
              </w:rPr>
              <w:t> </w:t>
            </w:r>
            <w:r>
              <w:rPr>
                <w:rFonts w:ascii="Franklin Gothic Medium"/>
                <w:color w:val="404040"/>
                <w:w w:val="80"/>
                <w:sz w:val="18"/>
              </w:rPr>
              <w:t>any</w:t>
            </w:r>
            <w:r>
              <w:rPr>
                <w:rFonts w:ascii="Franklin Gothic Medium"/>
                <w:color w:val="404040"/>
                <w:spacing w:val="-1"/>
                <w:w w:val="80"/>
                <w:sz w:val="18"/>
              </w:rPr>
              <w:t> </w:t>
            </w:r>
            <w:r>
              <w:rPr>
                <w:rFonts w:ascii="Franklin Gothic Medium"/>
                <w:color w:val="404040"/>
                <w:w w:val="80"/>
                <w:sz w:val="18"/>
              </w:rPr>
              <w:t>cause(s)</w:t>
            </w:r>
            <w:r>
              <w:rPr>
                <w:rFonts w:ascii="Franklin Gothic Medium"/>
                <w:color w:val="404040"/>
                <w:spacing w:val="-4"/>
                <w:sz w:val="18"/>
              </w:rPr>
              <w:t> </w:t>
            </w:r>
            <w:r>
              <w:rPr>
                <w:rFonts w:ascii="Franklin Gothic Medium"/>
                <w:color w:val="404040"/>
                <w:w w:val="80"/>
                <w:sz w:val="18"/>
              </w:rPr>
              <w:t>that</w:t>
            </w:r>
            <w:r>
              <w:rPr>
                <w:rFonts w:ascii="Franklin Gothic Medium"/>
                <w:color w:val="404040"/>
                <w:sz w:val="18"/>
              </w:rPr>
              <w:t> </w:t>
            </w:r>
            <w:r>
              <w:rPr>
                <w:rFonts w:ascii="Franklin Gothic Medium"/>
                <w:color w:val="404040"/>
                <w:w w:val="80"/>
                <w:sz w:val="18"/>
              </w:rPr>
              <w:t>would</w:t>
            </w:r>
            <w:r>
              <w:rPr>
                <w:rFonts w:ascii="Franklin Gothic Medium"/>
                <w:color w:val="404040"/>
                <w:spacing w:val="-4"/>
                <w:w w:val="80"/>
                <w:sz w:val="18"/>
              </w:rPr>
              <w:t> </w:t>
            </w:r>
            <w:r>
              <w:rPr>
                <w:rFonts w:ascii="Franklin Gothic Medium"/>
                <w:color w:val="404040"/>
                <w:w w:val="80"/>
                <w:sz w:val="18"/>
              </w:rPr>
              <w:t>create</w:t>
            </w:r>
            <w:r>
              <w:rPr>
                <w:rFonts w:ascii="Franklin Gothic Medium"/>
                <w:color w:val="404040"/>
                <w:spacing w:val="-3"/>
                <w:w w:val="80"/>
                <w:sz w:val="18"/>
              </w:rPr>
              <w:t> </w:t>
            </w:r>
            <w:r>
              <w:rPr>
                <w:rFonts w:ascii="Franklin Gothic Medium"/>
                <w:color w:val="404040"/>
                <w:w w:val="80"/>
                <w:sz w:val="18"/>
              </w:rPr>
              <w:t>a</w:t>
            </w:r>
            <w:r>
              <w:rPr>
                <w:rFonts w:ascii="Franklin Gothic Medium"/>
                <w:color w:val="404040"/>
                <w:spacing w:val="-4"/>
                <w:w w:val="80"/>
                <w:sz w:val="18"/>
              </w:rPr>
              <w:t> </w:t>
            </w:r>
            <w:r>
              <w:rPr>
                <w:rFonts w:ascii="Franklin Gothic Medium"/>
                <w:color w:val="404040"/>
                <w:w w:val="80"/>
                <w:sz w:val="18"/>
              </w:rPr>
              <w:t>potential</w:t>
            </w:r>
            <w:r>
              <w:rPr>
                <w:rFonts w:ascii="Franklin Gothic Medium"/>
                <w:color w:val="404040"/>
                <w:w w:val="90"/>
                <w:sz w:val="18"/>
              </w:rPr>
              <w:t> hazard or</w:t>
            </w:r>
            <w:r>
              <w:rPr>
                <w:rFonts w:ascii="Franklin Gothic Medium"/>
                <w:color w:val="404040"/>
                <w:spacing w:val="40"/>
                <w:sz w:val="18"/>
              </w:rPr>
              <w:t> </w:t>
            </w:r>
            <w:r>
              <w:rPr>
                <w:rFonts w:ascii="Franklin Gothic Medium"/>
                <w:color w:val="404040"/>
                <w:w w:val="90"/>
                <w:sz w:val="18"/>
              </w:rPr>
              <w:t>undesirable situation.)</w:t>
            </w:r>
          </w:p>
        </w:tc>
      </w:tr>
    </w:tbl>
    <w:p>
      <w:pPr>
        <w:spacing w:before="0"/>
        <w:ind w:left="360" w:right="0" w:firstLine="0"/>
        <w:jc w:val="left"/>
        <w:rPr>
          <w:rFonts w:ascii="Franklin Gothic Medium"/>
          <w:i/>
          <w:sz w:val="16"/>
        </w:rPr>
      </w:pPr>
      <w:r>
        <w:rPr>
          <w:rFonts w:ascii="Franklin Gothic Medium"/>
          <w:i/>
          <w:w w:val="70"/>
          <w:sz w:val="16"/>
        </w:rPr>
        <w:t>*Sample</w:t>
      </w:r>
      <w:r>
        <w:rPr>
          <w:rFonts w:ascii="Franklin Gothic Medium"/>
          <w:i/>
          <w:spacing w:val="-6"/>
          <w:sz w:val="16"/>
        </w:rPr>
        <w:t> </w:t>
      </w:r>
      <w:r>
        <w:rPr>
          <w:rFonts w:ascii="Franklin Gothic Medium"/>
          <w:i/>
          <w:spacing w:val="-4"/>
          <w:w w:val="80"/>
          <w:sz w:val="16"/>
        </w:rPr>
        <w:t>Only</w:t>
      </w:r>
    </w:p>
    <w:p>
      <w:pPr>
        <w:pStyle w:val="BodyText"/>
        <w:rPr>
          <w:rFonts w:ascii="Franklin Gothic Medium"/>
          <w:i/>
          <w:sz w:val="16"/>
        </w:rPr>
      </w:pPr>
    </w:p>
    <w:p>
      <w:pPr>
        <w:pStyle w:val="BodyText"/>
        <w:rPr>
          <w:rFonts w:ascii="Franklin Gothic Medium"/>
          <w:i/>
          <w:sz w:val="16"/>
        </w:rPr>
      </w:pPr>
    </w:p>
    <w:p>
      <w:pPr>
        <w:pStyle w:val="BodyText"/>
        <w:rPr>
          <w:rFonts w:ascii="Franklin Gothic Medium"/>
          <w:i/>
          <w:sz w:val="16"/>
        </w:rPr>
      </w:pPr>
    </w:p>
    <w:p>
      <w:pPr>
        <w:pStyle w:val="BodyText"/>
        <w:rPr>
          <w:rFonts w:ascii="Franklin Gothic Medium"/>
          <w:i/>
          <w:sz w:val="16"/>
        </w:rPr>
      </w:pPr>
    </w:p>
    <w:p>
      <w:pPr>
        <w:pStyle w:val="BodyText"/>
        <w:spacing w:before="97"/>
        <w:rPr>
          <w:rFonts w:ascii="Franklin Gothic Medium"/>
          <w:i/>
          <w:sz w:val="16"/>
        </w:rPr>
      </w:pPr>
    </w:p>
    <w:p>
      <w:pPr>
        <w:pStyle w:val="BodyText"/>
        <w:spacing w:line="255" w:lineRule="exact"/>
        <w:ind w:left="360"/>
      </w:pPr>
      <w:r>
        <w:rPr>
          <w:color w:val="00AFEF"/>
          <w:spacing w:val="-2"/>
        </w:rPr>
        <w:t>Disclaimer</w:t>
      </w:r>
    </w:p>
    <w:p>
      <w:pPr>
        <w:pStyle w:val="BodyText"/>
        <w:ind w:left="360" w:right="297"/>
      </w:pPr>
      <w:r>
        <w:rPr>
          <w:w w:val="90"/>
        </w:rPr>
        <w:t>The content of the E-mitra is intended to serve as a sample and guide for better understanding the NABH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5"/>
        </w:rPr>
        <w:t> </w:t>
      </w:r>
      <w:r>
        <w:rPr>
          <w:spacing w:val="-8"/>
        </w:rPr>
        <w:t>only</w:t>
      </w:r>
      <w:r>
        <w:rPr>
          <w:spacing w:val="-9"/>
        </w:rPr>
        <w:t> </w:t>
      </w:r>
      <w:r>
        <w:rPr>
          <w:spacing w:val="-8"/>
        </w:rPr>
        <w:t>way to</w:t>
      </w:r>
      <w:r>
        <w:rPr>
          <w:spacing w:val="-9"/>
        </w:rPr>
        <w:t> </w:t>
      </w:r>
      <w:r>
        <w:rPr>
          <w:spacing w:val="-8"/>
        </w:rPr>
        <w:t>meet</w:t>
      </w:r>
      <w:r>
        <w:rPr>
          <w:spacing w:val="-6"/>
        </w:rPr>
        <w:t> </w:t>
      </w:r>
      <w:r>
        <w:rPr>
          <w:spacing w:val="-8"/>
        </w:rPr>
        <w:t>the standards. </w:t>
      </w:r>
      <w:r>
        <w:rPr>
          <w:w w:val="90"/>
        </w:rPr>
        <w:t>Healthcare</w:t>
      </w:r>
      <w:r>
        <w:rPr>
          <w:spacing w:val="-3"/>
          <w:w w:val="90"/>
        </w:rPr>
        <w:t> </w:t>
      </w:r>
      <w:r>
        <w:rPr>
          <w:w w:val="90"/>
        </w:rPr>
        <w:t>organizations</w:t>
      </w:r>
      <w:r>
        <w:rPr>
          <w:spacing w:val="-2"/>
          <w:w w:val="90"/>
        </w:rPr>
        <w:t> </w:t>
      </w:r>
      <w:r>
        <w:rPr>
          <w:w w:val="90"/>
        </w:rPr>
        <w:t>are</w:t>
      </w:r>
      <w:r>
        <w:rPr>
          <w:spacing w:val="-3"/>
          <w:w w:val="90"/>
        </w:rPr>
        <w:t> </w:t>
      </w:r>
      <w:r>
        <w:rPr>
          <w:w w:val="90"/>
        </w:rPr>
        <w:t>encouraged to</w:t>
      </w:r>
      <w:r>
        <w:rPr>
          <w:spacing w:val="-4"/>
          <w:w w:val="90"/>
        </w:rPr>
        <w:t> </w:t>
      </w:r>
      <w:r>
        <w:rPr>
          <w:w w:val="90"/>
        </w:rPr>
        <w:t>adapt</w:t>
      </w:r>
      <w:r>
        <w:rPr>
          <w:spacing w:val="-1"/>
          <w:w w:val="90"/>
        </w:rPr>
        <w:t> </w:t>
      </w:r>
      <w:r>
        <w:rPr>
          <w:w w:val="90"/>
        </w:rPr>
        <w:t>and</w:t>
      </w:r>
      <w:r>
        <w:rPr>
          <w:spacing w:val="-5"/>
          <w:w w:val="90"/>
        </w:rPr>
        <w:t> </w:t>
      </w:r>
      <w:r>
        <w:rPr>
          <w:w w:val="90"/>
        </w:rPr>
        <w:t>modify</w:t>
      </w:r>
      <w:r>
        <w:rPr>
          <w:spacing w:val="-4"/>
          <w:w w:val="90"/>
        </w:rPr>
        <w:t> </w:t>
      </w:r>
      <w:r>
        <w:rPr>
          <w:w w:val="90"/>
        </w:rPr>
        <w:t>the</w:t>
      </w:r>
      <w:r>
        <w:rPr>
          <w:spacing w:val="-3"/>
          <w:w w:val="90"/>
        </w:rPr>
        <w:t> </w:t>
      </w:r>
      <w:r>
        <w:rPr>
          <w:w w:val="90"/>
        </w:rPr>
        <w:t>materials</w:t>
      </w:r>
      <w:r>
        <w:rPr>
          <w:spacing w:val="-2"/>
          <w:w w:val="90"/>
        </w:rPr>
        <w:t> </w:t>
      </w:r>
      <w:r>
        <w:rPr>
          <w:w w:val="90"/>
        </w:rPr>
        <w:t>according</w:t>
      </w:r>
      <w:r>
        <w:rPr>
          <w:spacing w:val="-2"/>
          <w:w w:val="90"/>
        </w:rPr>
        <w:t> </w:t>
      </w:r>
      <w:r>
        <w:rPr>
          <w:w w:val="90"/>
        </w:rPr>
        <w:t>to</w:t>
      </w:r>
      <w:r>
        <w:rPr>
          <w:spacing w:val="-4"/>
          <w:w w:val="90"/>
        </w:rPr>
        <w:t> </w:t>
      </w:r>
      <w:r>
        <w:rPr>
          <w:w w:val="90"/>
        </w:rPr>
        <w:t>their</w:t>
      </w:r>
      <w:r>
        <w:rPr>
          <w:spacing w:val="-5"/>
          <w:w w:val="90"/>
        </w:rPr>
        <w:t> </w:t>
      </w:r>
      <w:r>
        <w:rPr>
          <w:w w:val="90"/>
        </w:rPr>
        <w:t>own</w:t>
      </w:r>
      <w:r>
        <w:rPr>
          <w:spacing w:val="-3"/>
          <w:w w:val="90"/>
        </w:rPr>
        <w:t> </w:t>
      </w:r>
      <w:r>
        <w:rPr>
          <w:w w:val="90"/>
        </w:rPr>
        <w:t>scope</w:t>
      </w:r>
      <w:r>
        <w:rPr>
          <w:spacing w:val="-3"/>
          <w:w w:val="90"/>
        </w:rPr>
        <w:t> </w:t>
      </w:r>
      <w:r>
        <w:rPr>
          <w:w w:val="90"/>
        </w:rPr>
        <w:t>of services and operational needs. NABH is not liable for any misinterpretations or errors resulting from the unmodified use of this material, or for any non-compliance during assessments that may arise because of </w:t>
      </w:r>
      <w:r>
        <w:rPr/>
        <w:t>such actions.</w:t>
      </w:r>
    </w:p>
    <w:sectPr>
      <w:headerReference w:type="default" r:id="rId9"/>
      <w:pgSz w:w="10800" w:h="15600"/>
      <w:pgMar w:header="0" w:footer="0" w:top="1000" w:bottom="28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Franklin Gothic Medium">
    <w:altName w:val="Franklin Gothic Medium"/>
    <w:charset w:val="1"/>
    <w:family w:val="swiss"/>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09440">
              <wp:simplePos x="0" y="0"/>
              <wp:positionH relativeFrom="page">
                <wp:posOffset>4552950</wp:posOffset>
              </wp:positionH>
              <wp:positionV relativeFrom="page">
                <wp:posOffset>147320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8.5pt;margin-top:11.6pt;width:158.15pt;height:43.15pt;mso-position-horizontal-relative:page;mso-position-vertical-relative:page;z-index:-16407040" id="docshapegroup1" coordorigin="7170,232" coordsize="3163,863">
              <v:shape style="position:absolute;left:8863;top:435;width:1469;height:469" type="#_x0000_t75" id="docshape2" stroked="false">
                <v:imagedata r:id="rId1" o:title=""/>
              </v:shape>
              <v:shape style="position:absolute;left:7170;top:232;width:1857;height:863" type="#_x0000_t75" id="docshape3" stroked="false">
                <v:imagedata r:id="rId2" o:title=""/>
              </v:shape>
              <w10:wrap type="none"/>
            </v:group>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1" w:hanging="131"/>
      </w:pPr>
      <w:rPr>
        <w:rFonts w:hint="default" w:ascii="Calibri" w:hAnsi="Calibri" w:eastAsia="Calibri" w:cs="Calibri"/>
        <w:b w:val="0"/>
        <w:bCs w:val="0"/>
        <w:i w:val="0"/>
        <w:iCs w:val="0"/>
        <w:spacing w:val="0"/>
        <w:w w:val="100"/>
        <w:sz w:val="18"/>
        <w:szCs w:val="18"/>
        <w:lang w:val="en-US" w:eastAsia="en-US" w:bidi="ar-SA"/>
      </w:rPr>
    </w:lvl>
    <w:lvl w:ilvl="1">
      <w:start w:val="0"/>
      <w:numFmt w:val="bullet"/>
      <w:lvlText w:val="•"/>
      <w:lvlJc w:val="left"/>
      <w:pPr>
        <w:ind w:left="362" w:hanging="131"/>
      </w:pPr>
      <w:rPr>
        <w:rFonts w:hint="default"/>
        <w:lang w:val="en-US" w:eastAsia="en-US" w:bidi="ar-SA"/>
      </w:rPr>
    </w:lvl>
    <w:lvl w:ilvl="2">
      <w:start w:val="0"/>
      <w:numFmt w:val="bullet"/>
      <w:lvlText w:val="•"/>
      <w:lvlJc w:val="left"/>
      <w:pPr>
        <w:ind w:left="624" w:hanging="131"/>
      </w:pPr>
      <w:rPr>
        <w:rFonts w:hint="default"/>
        <w:lang w:val="en-US" w:eastAsia="en-US" w:bidi="ar-SA"/>
      </w:rPr>
    </w:lvl>
    <w:lvl w:ilvl="3">
      <w:start w:val="0"/>
      <w:numFmt w:val="bullet"/>
      <w:lvlText w:val="•"/>
      <w:lvlJc w:val="left"/>
      <w:pPr>
        <w:ind w:left="886" w:hanging="131"/>
      </w:pPr>
      <w:rPr>
        <w:rFonts w:hint="default"/>
        <w:lang w:val="en-US" w:eastAsia="en-US" w:bidi="ar-SA"/>
      </w:rPr>
    </w:lvl>
    <w:lvl w:ilvl="4">
      <w:start w:val="0"/>
      <w:numFmt w:val="bullet"/>
      <w:lvlText w:val="•"/>
      <w:lvlJc w:val="left"/>
      <w:pPr>
        <w:ind w:left="1148" w:hanging="131"/>
      </w:pPr>
      <w:rPr>
        <w:rFonts w:hint="default"/>
        <w:lang w:val="en-US" w:eastAsia="en-US" w:bidi="ar-SA"/>
      </w:rPr>
    </w:lvl>
    <w:lvl w:ilvl="5">
      <w:start w:val="0"/>
      <w:numFmt w:val="bullet"/>
      <w:lvlText w:val="•"/>
      <w:lvlJc w:val="left"/>
      <w:pPr>
        <w:ind w:left="1411" w:hanging="131"/>
      </w:pPr>
      <w:rPr>
        <w:rFonts w:hint="default"/>
        <w:lang w:val="en-US" w:eastAsia="en-US" w:bidi="ar-SA"/>
      </w:rPr>
    </w:lvl>
    <w:lvl w:ilvl="6">
      <w:start w:val="0"/>
      <w:numFmt w:val="bullet"/>
      <w:lvlText w:val="•"/>
      <w:lvlJc w:val="left"/>
      <w:pPr>
        <w:ind w:left="1673" w:hanging="131"/>
      </w:pPr>
      <w:rPr>
        <w:rFonts w:hint="default"/>
        <w:lang w:val="en-US" w:eastAsia="en-US" w:bidi="ar-SA"/>
      </w:rPr>
    </w:lvl>
    <w:lvl w:ilvl="7">
      <w:start w:val="0"/>
      <w:numFmt w:val="bullet"/>
      <w:lvlText w:val="•"/>
      <w:lvlJc w:val="left"/>
      <w:pPr>
        <w:ind w:left="1935" w:hanging="131"/>
      </w:pPr>
      <w:rPr>
        <w:rFonts w:hint="default"/>
        <w:lang w:val="en-US" w:eastAsia="en-US" w:bidi="ar-SA"/>
      </w:rPr>
    </w:lvl>
    <w:lvl w:ilvl="8">
      <w:start w:val="0"/>
      <w:numFmt w:val="bullet"/>
      <w:lvlText w:val="•"/>
      <w:lvlJc w:val="left"/>
      <w:pPr>
        <w:ind w:left="2197" w:hanging="13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895"/>
      <w:outlineLvl w:val="1"/>
    </w:pPr>
    <w:rPr>
      <w:rFonts w:ascii="Trebuchet MS" w:hAnsi="Trebuchet MS" w:eastAsia="Trebuchet MS" w:cs="Trebuchet MS"/>
      <w:b/>
      <w:bCs/>
      <w:sz w:val="22"/>
      <w:szCs w:val="22"/>
      <w:lang w:val="en-US" w:eastAsia="en-US" w:bidi="ar-SA"/>
    </w:rPr>
  </w:style>
  <w:style w:styleId="Title" w:type="paragraph">
    <w:name w:val="Title"/>
    <w:basedOn w:val="Normal"/>
    <w:uiPriority w:val="1"/>
    <w:qFormat/>
    <w:pPr>
      <w:ind w:left="87" w:right="353"/>
      <w:jc w:val="center"/>
    </w:pPr>
    <w:rPr>
      <w:rFonts w:ascii="Franklin Gothic Medium" w:hAnsi="Franklin Gothic Medium" w:eastAsia="Franklin Gothic Medium" w:cs="Franklin Gothic Medium"/>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www.who.int/gpsc/5may/tools/en/" TargetMode="External"/><Relationship Id="rId7" Type="http://schemas.openxmlformats.org/officeDocument/2006/relationships/hyperlink" Target="http://www.who.int/entity/gpsc/5may/Observation_Form.doc?ua=1" TargetMode="External"/><Relationship Id="rId8" Type="http://schemas.openxmlformats.org/officeDocument/2006/relationships/image" Target="media/image3.png"/><Relationship Id="rId9" Type="http://schemas.openxmlformats.org/officeDocument/2006/relationships/header" Target="header2.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Sidhant</dc:creator>
  <dcterms:created xsi:type="dcterms:W3CDTF">2026-08-28T06:59:50Z</dcterms:created>
  <dcterms:modified xsi:type="dcterms:W3CDTF">2026-08-28T06:59:50Z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2026-05-13T00:00:00Z</vt:filetime>
  </property>
  <property fmtid="{D5CDD505-2E9C-101B-9397-08002B2CF9AE}" pid="4" name="Creator">
    <vt:lpwstr>Microsoft Word</vt:lpwstr>
  </property>
  <property fmtid="{D5CDD505-2E9C-101B-9397-08002B2CF9AE}" pid="5" name="LastSaved">
    <vt:filetime>2026-08-28T00:00:00Z</vt:filetime>
  </property>
</Properties>
</file>