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90"/>
        <w:rPr>
          <w:rFonts w:ascii="Times New Roman"/>
          <w:sz w:val="20"/>
        </w:rPr>
      </w:pPr>
    </w:p>
    <w:p>
      <w:pPr>
        <w:spacing w:line="271" w:lineRule="auto" w:before="0"/>
        <w:ind w:left="0" w:right="354" w:firstLine="0"/>
        <w:jc w:val="center"/>
        <w:rPr>
          <w:sz w:val="20"/>
        </w:rPr>
      </w:pPr>
      <w:r>
        <w:rPr>
          <w:w w:val="105"/>
          <w:sz w:val="20"/>
        </w:rPr>
        <w:t>Document ID EM/GUIDE/05/V2.0 Document Version 02 Document Category Guideline Issue Date </w:t>
      </w:r>
      <w:r>
        <w:rPr>
          <w:spacing w:val="-2"/>
          <w:w w:val="105"/>
          <w:sz w:val="20"/>
        </w:rPr>
        <w:t>05/2026</w:t>
      </w: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20"/>
        </w:rPr>
      </w:pPr>
    </w:p>
    <w:p>
      <w:pPr>
        <w:pStyle w:val="Heading1"/>
      </w:pPr>
      <w:r>
        <w:rPr>
          <w:color w:val="009DDD"/>
          <w:spacing w:val="10"/>
        </w:rPr>
        <w:t>Manpower</w:t>
      </w:r>
      <w:r>
        <w:rPr>
          <w:color w:val="009DDD"/>
          <w:spacing w:val="28"/>
          <w:w w:val="150"/>
        </w:rPr>
        <w:t> </w:t>
      </w:r>
      <w:r>
        <w:rPr>
          <w:color w:val="009DDD"/>
          <w:spacing w:val="10"/>
        </w:rPr>
        <w:t>Requirement</w:t>
      </w:r>
      <w:r>
        <w:rPr>
          <w:color w:val="009DDD"/>
          <w:spacing w:val="28"/>
          <w:w w:val="150"/>
        </w:rPr>
        <w:t> </w:t>
      </w:r>
      <w:r>
        <w:rPr>
          <w:color w:val="009DDD"/>
          <w:spacing w:val="-2"/>
        </w:rPr>
        <w:t>Guidelines</w:t>
      </w:r>
    </w:p>
    <w:p>
      <w:pPr>
        <w:pStyle w:val="BodyText"/>
        <w:spacing w:before="6"/>
        <w:rPr>
          <w:sz w:val="44"/>
        </w:rPr>
      </w:pPr>
    </w:p>
    <w:p>
      <w:pPr>
        <w:spacing w:line="292" w:lineRule="auto" w:before="0"/>
        <w:ind w:left="1" w:right="344" w:firstLine="0"/>
        <w:jc w:val="both"/>
        <w:rPr>
          <w:sz w:val="21"/>
        </w:rPr>
      </w:pPr>
      <w:r>
        <w:rPr>
          <w:w w:val="110"/>
          <w:sz w:val="21"/>
        </w:rPr>
        <w:t>This document outlines the strategic approach to planning and staffing within a healthcare organization.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It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defines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the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roles,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qualifications,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and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responsibilities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of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nursing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staff,</w:t>
      </w:r>
      <w:r>
        <w:rPr>
          <w:spacing w:val="-10"/>
          <w:w w:val="110"/>
          <w:sz w:val="21"/>
        </w:rPr>
        <w:t> </w:t>
      </w:r>
      <w:r>
        <w:rPr>
          <w:w w:val="110"/>
          <w:sz w:val="21"/>
        </w:rPr>
        <w:t>resident medical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officers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(RMOs),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and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consultants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based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on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the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Indian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Public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Health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Standards</w:t>
      </w:r>
      <w:r>
        <w:rPr>
          <w:spacing w:val="-16"/>
          <w:w w:val="110"/>
          <w:sz w:val="21"/>
        </w:rPr>
        <w:t> </w:t>
      </w:r>
      <w:r>
        <w:rPr>
          <w:w w:val="110"/>
          <w:sz w:val="21"/>
        </w:rPr>
        <w:t>(IPHS) </w:t>
      </w:r>
      <w:r>
        <w:rPr>
          <w:sz w:val="21"/>
        </w:rPr>
        <w:t>2022, the Indian Nursing Council (INC) norms, and NABH Entry Level Standards. Proper planning </w:t>
      </w:r>
      <w:r>
        <w:rPr>
          <w:w w:val="110"/>
          <w:sz w:val="21"/>
        </w:rPr>
        <w:t>ensures</w:t>
      </w:r>
      <w:r>
        <w:rPr>
          <w:spacing w:val="-19"/>
          <w:w w:val="110"/>
          <w:sz w:val="21"/>
        </w:rPr>
        <w:t> </w:t>
      </w:r>
      <w:r>
        <w:rPr>
          <w:w w:val="110"/>
          <w:sz w:val="21"/>
        </w:rPr>
        <w:t>adequate</w:t>
      </w:r>
      <w:r>
        <w:rPr>
          <w:spacing w:val="-18"/>
          <w:w w:val="110"/>
          <w:sz w:val="21"/>
        </w:rPr>
        <w:t> </w:t>
      </w:r>
      <w:r>
        <w:rPr>
          <w:w w:val="110"/>
          <w:sz w:val="21"/>
        </w:rPr>
        <w:t>coverage,</w:t>
      </w:r>
      <w:r>
        <w:rPr>
          <w:spacing w:val="-18"/>
          <w:w w:val="110"/>
          <w:sz w:val="21"/>
        </w:rPr>
        <w:t> </w:t>
      </w:r>
      <w:r>
        <w:rPr>
          <w:w w:val="110"/>
          <w:sz w:val="21"/>
        </w:rPr>
        <w:t>compliance</w:t>
      </w:r>
      <w:r>
        <w:rPr>
          <w:spacing w:val="-18"/>
          <w:w w:val="110"/>
          <w:sz w:val="21"/>
        </w:rPr>
        <w:t> </w:t>
      </w:r>
      <w:r>
        <w:rPr>
          <w:w w:val="110"/>
          <w:sz w:val="21"/>
        </w:rPr>
        <w:t>with</w:t>
      </w:r>
      <w:r>
        <w:rPr>
          <w:spacing w:val="-18"/>
          <w:w w:val="110"/>
          <w:sz w:val="21"/>
        </w:rPr>
        <w:t> </w:t>
      </w:r>
      <w:r>
        <w:rPr>
          <w:w w:val="110"/>
          <w:sz w:val="21"/>
        </w:rPr>
        <w:t>statutory</w:t>
      </w:r>
      <w:r>
        <w:rPr>
          <w:spacing w:val="-18"/>
          <w:w w:val="110"/>
          <w:sz w:val="21"/>
        </w:rPr>
        <w:t> </w:t>
      </w:r>
      <w:r>
        <w:rPr>
          <w:w w:val="110"/>
          <w:sz w:val="21"/>
        </w:rPr>
        <w:t>requirements,</w:t>
      </w:r>
      <w:r>
        <w:rPr>
          <w:spacing w:val="-18"/>
          <w:w w:val="110"/>
          <w:sz w:val="21"/>
        </w:rPr>
        <w:t> </w:t>
      </w:r>
      <w:r>
        <w:rPr>
          <w:w w:val="110"/>
          <w:sz w:val="21"/>
        </w:rPr>
        <w:t>and</w:t>
      </w:r>
      <w:r>
        <w:rPr>
          <w:spacing w:val="-18"/>
          <w:w w:val="110"/>
          <w:sz w:val="21"/>
        </w:rPr>
        <w:t> </w:t>
      </w:r>
      <w:r>
        <w:rPr>
          <w:w w:val="110"/>
          <w:sz w:val="21"/>
        </w:rPr>
        <w:t>quality</w:t>
      </w:r>
      <w:r>
        <w:rPr>
          <w:spacing w:val="-18"/>
          <w:w w:val="110"/>
          <w:sz w:val="21"/>
        </w:rPr>
        <w:t> </w:t>
      </w:r>
      <w:r>
        <w:rPr>
          <w:w w:val="110"/>
          <w:sz w:val="21"/>
        </w:rPr>
        <w:t>patient</w:t>
      </w:r>
      <w:r>
        <w:rPr>
          <w:spacing w:val="-18"/>
          <w:w w:val="110"/>
          <w:sz w:val="21"/>
        </w:rPr>
        <w:t> </w:t>
      </w:r>
      <w:r>
        <w:rPr>
          <w:w w:val="110"/>
          <w:sz w:val="21"/>
        </w:rPr>
        <w:t>care </w:t>
      </w:r>
      <w:r>
        <w:rPr>
          <w:sz w:val="21"/>
        </w:rPr>
        <w:t>across all departments. This document outlines the strategic approach to planning and staffing </w:t>
      </w:r>
      <w:r>
        <w:rPr>
          <w:w w:val="110"/>
          <w:sz w:val="21"/>
        </w:rPr>
        <w:t>within</w:t>
      </w:r>
      <w:r>
        <w:rPr>
          <w:w w:val="110"/>
          <w:sz w:val="21"/>
        </w:rPr>
        <w:t> a</w:t>
      </w:r>
      <w:r>
        <w:rPr>
          <w:w w:val="110"/>
          <w:sz w:val="21"/>
        </w:rPr>
        <w:t> healthcare</w:t>
      </w:r>
      <w:r>
        <w:rPr>
          <w:w w:val="110"/>
          <w:sz w:val="21"/>
        </w:rPr>
        <w:t> organization.</w:t>
      </w:r>
      <w:r>
        <w:rPr>
          <w:w w:val="110"/>
          <w:sz w:val="21"/>
        </w:rPr>
        <w:t> It</w:t>
      </w:r>
      <w:r>
        <w:rPr>
          <w:w w:val="110"/>
          <w:sz w:val="21"/>
        </w:rPr>
        <w:t> defines</w:t>
      </w:r>
      <w:r>
        <w:rPr>
          <w:w w:val="110"/>
          <w:sz w:val="21"/>
        </w:rPr>
        <w:t> the</w:t>
      </w:r>
      <w:r>
        <w:rPr>
          <w:w w:val="110"/>
          <w:sz w:val="21"/>
        </w:rPr>
        <w:t> roles,</w:t>
      </w:r>
      <w:r>
        <w:rPr>
          <w:w w:val="110"/>
          <w:sz w:val="21"/>
        </w:rPr>
        <w:t> qualifications,</w:t>
      </w:r>
      <w:r>
        <w:rPr>
          <w:w w:val="110"/>
          <w:sz w:val="21"/>
        </w:rPr>
        <w:t> and</w:t>
      </w:r>
      <w:r>
        <w:rPr>
          <w:w w:val="110"/>
          <w:sz w:val="21"/>
        </w:rPr>
        <w:t> responsibilities</w:t>
      </w:r>
      <w:r>
        <w:rPr>
          <w:w w:val="110"/>
          <w:sz w:val="21"/>
        </w:rPr>
        <w:t> of nursing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staff,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resident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medical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officers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(RMOs),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and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consultants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based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on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the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current</w:t>
      </w:r>
      <w:r>
        <w:rPr>
          <w:spacing w:val="-5"/>
          <w:w w:val="110"/>
          <w:sz w:val="21"/>
        </w:rPr>
        <w:t> </w:t>
      </w:r>
      <w:r>
        <w:rPr>
          <w:w w:val="110"/>
          <w:sz w:val="21"/>
        </w:rPr>
        <w:t>Indian </w:t>
      </w:r>
      <w:r>
        <w:rPr>
          <w:sz w:val="21"/>
        </w:rPr>
        <w:t>Public Health Standards (IPHS), the Indian Nursing Council (INC) norms, and NABH Entry Level </w:t>
      </w:r>
      <w:r>
        <w:rPr>
          <w:w w:val="110"/>
          <w:sz w:val="21"/>
        </w:rPr>
        <w:t>Standards.</w:t>
      </w:r>
      <w:r>
        <w:rPr>
          <w:w w:val="110"/>
          <w:sz w:val="21"/>
        </w:rPr>
        <w:t> Proper</w:t>
      </w:r>
      <w:r>
        <w:rPr>
          <w:w w:val="110"/>
          <w:sz w:val="21"/>
        </w:rPr>
        <w:t> planning</w:t>
      </w:r>
      <w:r>
        <w:rPr>
          <w:w w:val="110"/>
          <w:sz w:val="21"/>
        </w:rPr>
        <w:t> ensures</w:t>
      </w:r>
      <w:r>
        <w:rPr>
          <w:w w:val="110"/>
          <w:sz w:val="21"/>
        </w:rPr>
        <w:t> adequate</w:t>
      </w:r>
      <w:r>
        <w:rPr>
          <w:w w:val="110"/>
          <w:sz w:val="21"/>
        </w:rPr>
        <w:t> coverage,</w:t>
      </w:r>
      <w:r>
        <w:rPr>
          <w:w w:val="110"/>
          <w:sz w:val="21"/>
        </w:rPr>
        <w:t> compliance</w:t>
      </w:r>
      <w:r>
        <w:rPr>
          <w:w w:val="110"/>
          <w:sz w:val="21"/>
        </w:rPr>
        <w:t> with</w:t>
      </w:r>
      <w:r>
        <w:rPr>
          <w:w w:val="110"/>
          <w:sz w:val="21"/>
        </w:rPr>
        <w:t> statutory requirements,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and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quality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patient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care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across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all</w:t>
      </w:r>
      <w:r>
        <w:rPr>
          <w:spacing w:val="-9"/>
          <w:w w:val="110"/>
          <w:sz w:val="21"/>
        </w:rPr>
        <w:t> </w:t>
      </w:r>
      <w:r>
        <w:rPr>
          <w:w w:val="110"/>
          <w:sz w:val="21"/>
        </w:rPr>
        <w:t>departments.</w:t>
      </w:r>
    </w:p>
    <w:p>
      <w:pPr>
        <w:pStyle w:val="BodyText"/>
        <w:rPr>
          <w:sz w:val="21"/>
        </w:rPr>
      </w:pPr>
    </w:p>
    <w:p>
      <w:pPr>
        <w:pStyle w:val="BodyText"/>
        <w:spacing w:before="85"/>
        <w:rPr>
          <w:sz w:val="21"/>
        </w:rPr>
      </w:pPr>
    </w:p>
    <w:p>
      <w:pPr>
        <w:pStyle w:val="Heading2"/>
        <w:spacing w:before="1"/>
        <w:ind w:firstLine="0"/>
        <w:rPr>
          <w:b w:val="0"/>
        </w:rPr>
      </w:pPr>
      <w:r>
        <w:rPr>
          <w:b w:val="0"/>
          <w:color w:val="00AFEF"/>
          <w:spacing w:val="-8"/>
        </w:rPr>
        <w:t>Nursing </w:t>
      </w:r>
      <w:r>
        <w:rPr>
          <w:b w:val="0"/>
          <w:color w:val="00AFEF"/>
          <w:spacing w:val="-2"/>
        </w:rPr>
        <w:t>Staff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73" w:after="0"/>
        <w:ind w:left="721" w:right="0" w:hanging="360"/>
        <w:jc w:val="left"/>
        <w:rPr>
          <w:sz w:val="22"/>
        </w:rPr>
      </w:pPr>
      <w:r>
        <w:rPr>
          <w:rFonts w:ascii="Arial Black" w:hAnsi="Arial Black"/>
          <w:sz w:val="22"/>
        </w:rPr>
        <w:t>Qualifications:</w:t>
      </w:r>
      <w:r>
        <w:rPr>
          <w:rFonts w:ascii="Arial Black" w:hAnsi="Arial Black"/>
          <w:spacing w:val="-14"/>
          <w:sz w:val="22"/>
        </w:rPr>
        <w:t> </w:t>
      </w:r>
      <w:r>
        <w:rPr>
          <w:sz w:val="22"/>
        </w:rPr>
        <w:t>RNRM,</w:t>
      </w:r>
      <w:r>
        <w:rPr>
          <w:spacing w:val="-8"/>
          <w:sz w:val="22"/>
        </w:rPr>
        <w:t> </w:t>
      </w:r>
      <w:r>
        <w:rPr>
          <w:sz w:val="22"/>
        </w:rPr>
        <w:t>GNM,</w:t>
      </w:r>
      <w:r>
        <w:rPr>
          <w:spacing w:val="-8"/>
          <w:sz w:val="22"/>
        </w:rPr>
        <w:t> </w:t>
      </w:r>
      <w:r>
        <w:rPr>
          <w:sz w:val="22"/>
        </w:rPr>
        <w:t>Post</w:t>
      </w:r>
      <w:r>
        <w:rPr>
          <w:spacing w:val="-8"/>
          <w:sz w:val="22"/>
        </w:rPr>
        <w:t> </w:t>
      </w:r>
      <w:r>
        <w:rPr>
          <w:sz w:val="22"/>
        </w:rPr>
        <w:t>BSc,</w:t>
      </w:r>
      <w:r>
        <w:rPr>
          <w:spacing w:val="-8"/>
          <w:sz w:val="22"/>
        </w:rPr>
        <w:t> </w:t>
      </w:r>
      <w:r>
        <w:rPr>
          <w:sz w:val="22"/>
        </w:rPr>
        <w:t>BSc,</w:t>
      </w:r>
      <w:r>
        <w:rPr>
          <w:spacing w:val="-8"/>
          <w:sz w:val="22"/>
        </w:rPr>
        <w:t> </w:t>
      </w:r>
      <w:r>
        <w:rPr>
          <w:sz w:val="22"/>
        </w:rPr>
        <w:t>MSc</w:t>
      </w:r>
      <w:r>
        <w:rPr>
          <w:spacing w:val="-8"/>
          <w:sz w:val="22"/>
        </w:rPr>
        <w:t> </w:t>
      </w:r>
      <w:r>
        <w:rPr>
          <w:sz w:val="22"/>
        </w:rPr>
        <w:t>in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Nursing.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68" w:lineRule="auto" w:before="14" w:after="0"/>
        <w:ind w:left="721" w:right="1123" w:hanging="360"/>
        <w:jc w:val="left"/>
        <w:rPr>
          <w:sz w:val="22"/>
        </w:rPr>
      </w:pPr>
      <w:r>
        <w:rPr>
          <w:rFonts w:ascii="Arial Black" w:hAnsi="Arial Black"/>
          <w:sz w:val="22"/>
        </w:rPr>
        <w:t>Standards</w:t>
      </w:r>
      <w:r>
        <w:rPr>
          <w:rFonts w:ascii="Arial Black" w:hAnsi="Arial Black"/>
          <w:spacing w:val="-8"/>
          <w:sz w:val="22"/>
        </w:rPr>
        <w:t> </w:t>
      </w:r>
      <w:r>
        <w:rPr>
          <w:rFonts w:ascii="Arial Black" w:hAnsi="Arial Black"/>
          <w:sz w:val="22"/>
        </w:rPr>
        <w:t>Compliance:</w:t>
      </w:r>
      <w:r>
        <w:rPr>
          <w:rFonts w:ascii="Arial Black" w:hAnsi="Arial Black"/>
          <w:spacing w:val="-7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accordance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current</w:t>
      </w:r>
      <w:r>
        <w:rPr>
          <w:spacing w:val="-3"/>
          <w:sz w:val="22"/>
        </w:rPr>
        <w:t> </w:t>
      </w:r>
      <w:r>
        <w:rPr>
          <w:sz w:val="22"/>
        </w:rPr>
        <w:t>Indian</w:t>
      </w:r>
      <w:r>
        <w:rPr>
          <w:spacing w:val="-3"/>
          <w:sz w:val="22"/>
        </w:rPr>
        <w:t> </w:t>
      </w:r>
      <w:r>
        <w:rPr>
          <w:sz w:val="22"/>
        </w:rPr>
        <w:t>Public</w:t>
      </w:r>
      <w:r>
        <w:rPr>
          <w:spacing w:val="-3"/>
          <w:sz w:val="22"/>
        </w:rPr>
        <w:t> </w:t>
      </w:r>
      <w:r>
        <w:rPr>
          <w:sz w:val="22"/>
        </w:rPr>
        <w:t>Health </w:t>
      </w:r>
      <w:r>
        <w:rPr>
          <w:w w:val="105"/>
          <w:sz w:val="22"/>
        </w:rPr>
        <w:t>Standards, and the Indian Nursing Council (INC) norms.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68" w:lineRule="auto" w:before="3" w:after="0"/>
        <w:ind w:left="721" w:right="1070" w:hanging="360"/>
        <w:jc w:val="left"/>
        <w:rPr>
          <w:sz w:val="22"/>
        </w:rPr>
      </w:pPr>
      <w:r>
        <w:rPr>
          <w:rFonts w:ascii="Arial Black" w:hAnsi="Arial Black"/>
          <w:sz w:val="22"/>
        </w:rPr>
        <w:t>Determining Factors: </w:t>
      </w:r>
      <w:r>
        <w:rPr>
          <w:sz w:val="22"/>
        </w:rPr>
        <w:t>Based on bed strength and functional beds within the </w:t>
      </w:r>
      <w:r>
        <w:rPr>
          <w:w w:val="105"/>
          <w:sz w:val="22"/>
        </w:rPr>
        <w:t>organization as well as criticality of patients and scope of services.</w:t>
      </w:r>
    </w:p>
    <w:p>
      <w:pPr>
        <w:pStyle w:val="Heading2"/>
        <w:spacing w:before="163"/>
        <w:ind w:firstLine="0"/>
        <w:rPr>
          <w:b w:val="0"/>
        </w:rPr>
      </w:pPr>
      <w:r>
        <w:rPr>
          <w:b w:val="0"/>
          <w:color w:val="00AFEF"/>
          <w:w w:val="90"/>
        </w:rPr>
        <w:t>Resident</w:t>
      </w:r>
      <w:r>
        <w:rPr>
          <w:b w:val="0"/>
          <w:color w:val="00AFEF"/>
          <w:spacing w:val="-7"/>
          <w:w w:val="90"/>
        </w:rPr>
        <w:t> </w:t>
      </w:r>
      <w:r>
        <w:rPr>
          <w:b w:val="0"/>
          <w:color w:val="00AFEF"/>
          <w:w w:val="90"/>
        </w:rPr>
        <w:t>Medical</w:t>
      </w:r>
      <w:r>
        <w:rPr>
          <w:b w:val="0"/>
          <w:color w:val="00AFEF"/>
          <w:spacing w:val="-7"/>
          <w:w w:val="90"/>
        </w:rPr>
        <w:t> </w:t>
      </w:r>
      <w:r>
        <w:rPr>
          <w:b w:val="0"/>
          <w:color w:val="00AFEF"/>
          <w:w w:val="90"/>
        </w:rPr>
        <w:t>Officers</w:t>
      </w:r>
      <w:r>
        <w:rPr>
          <w:b w:val="0"/>
          <w:color w:val="00AFEF"/>
          <w:spacing w:val="-7"/>
          <w:w w:val="90"/>
        </w:rPr>
        <w:t> </w:t>
      </w:r>
      <w:r>
        <w:rPr>
          <w:b w:val="0"/>
          <w:color w:val="00AFEF"/>
          <w:spacing w:val="-2"/>
          <w:w w:val="90"/>
        </w:rPr>
        <w:t>(RMOs)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74" w:after="0"/>
        <w:ind w:left="721" w:right="0" w:hanging="360"/>
        <w:jc w:val="left"/>
        <w:rPr>
          <w:sz w:val="22"/>
        </w:rPr>
      </w:pPr>
      <w:r>
        <w:rPr>
          <w:rFonts w:ascii="Arial Black" w:hAnsi="Arial Black"/>
          <w:spacing w:val="-6"/>
          <w:sz w:val="22"/>
        </w:rPr>
        <w:t>Qualifications:</w:t>
      </w:r>
      <w:r>
        <w:rPr>
          <w:rFonts w:ascii="Arial Black" w:hAnsi="Arial Black"/>
          <w:spacing w:val="-14"/>
          <w:sz w:val="22"/>
        </w:rPr>
        <w:t> </w:t>
      </w:r>
      <w:r>
        <w:rPr>
          <w:spacing w:val="-6"/>
          <w:sz w:val="22"/>
        </w:rPr>
        <w:t>MBBS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degree.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4" w:after="0"/>
        <w:ind w:left="721" w:right="0" w:hanging="360"/>
        <w:jc w:val="left"/>
        <w:rPr>
          <w:sz w:val="22"/>
        </w:rPr>
      </w:pPr>
      <w:r>
        <w:rPr>
          <w:rFonts w:ascii="Arial Black" w:hAnsi="Arial Black"/>
          <w:sz w:val="22"/>
        </w:rPr>
        <w:t>Role:</w:t>
      </w:r>
      <w:r>
        <w:rPr>
          <w:rFonts w:ascii="Arial Black" w:hAnsi="Arial Black"/>
          <w:spacing w:val="24"/>
          <w:sz w:val="22"/>
        </w:rPr>
        <w:t> </w:t>
      </w:r>
      <w:r>
        <w:rPr>
          <w:sz w:val="22"/>
        </w:rPr>
        <w:t>Duty</w:t>
      </w:r>
      <w:r>
        <w:rPr>
          <w:spacing w:val="31"/>
          <w:sz w:val="22"/>
        </w:rPr>
        <w:t> </w:t>
      </w:r>
      <w:r>
        <w:rPr>
          <w:sz w:val="22"/>
        </w:rPr>
        <w:t>officer</w:t>
      </w:r>
      <w:r>
        <w:rPr>
          <w:spacing w:val="30"/>
          <w:sz w:val="22"/>
        </w:rPr>
        <w:t> </w:t>
      </w:r>
      <w:r>
        <w:rPr>
          <w:sz w:val="22"/>
        </w:rPr>
        <w:t>fulfilling</w:t>
      </w:r>
      <w:r>
        <w:rPr>
          <w:spacing w:val="30"/>
          <w:sz w:val="22"/>
        </w:rPr>
        <w:t> </w:t>
      </w:r>
      <w:r>
        <w:rPr>
          <w:sz w:val="22"/>
        </w:rPr>
        <w:t>essential</w:t>
      </w:r>
      <w:r>
        <w:rPr>
          <w:spacing w:val="31"/>
          <w:sz w:val="22"/>
        </w:rPr>
        <w:t> </w:t>
      </w:r>
      <w:r>
        <w:rPr>
          <w:sz w:val="22"/>
        </w:rPr>
        <w:t>operational</w:t>
      </w:r>
      <w:r>
        <w:rPr>
          <w:spacing w:val="30"/>
          <w:sz w:val="22"/>
        </w:rPr>
        <w:t> </w:t>
      </w:r>
      <w:r>
        <w:rPr>
          <w:spacing w:val="-2"/>
          <w:sz w:val="22"/>
        </w:rPr>
        <w:t>requirements.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4" w:after="0"/>
        <w:ind w:left="721" w:right="0" w:hanging="360"/>
        <w:jc w:val="left"/>
        <w:rPr>
          <w:sz w:val="22"/>
        </w:rPr>
      </w:pPr>
      <w:r>
        <w:rPr>
          <w:rFonts w:ascii="Arial Black" w:hAnsi="Arial Black"/>
          <w:spacing w:val="-2"/>
          <w:sz w:val="22"/>
        </w:rPr>
        <w:t>Standards</w:t>
      </w:r>
      <w:r>
        <w:rPr>
          <w:rFonts w:ascii="Arial Black" w:hAnsi="Arial Black"/>
          <w:spacing w:val="-16"/>
          <w:sz w:val="22"/>
        </w:rPr>
        <w:t> </w:t>
      </w:r>
      <w:r>
        <w:rPr>
          <w:rFonts w:ascii="Arial Black" w:hAnsi="Arial Black"/>
          <w:spacing w:val="-2"/>
          <w:sz w:val="22"/>
        </w:rPr>
        <w:t>Compliance:</w:t>
      </w:r>
      <w:r>
        <w:rPr>
          <w:rFonts w:ascii="Arial Black" w:hAnsi="Arial Black"/>
          <w:spacing w:val="-15"/>
          <w:sz w:val="22"/>
        </w:rPr>
        <w:t> </w:t>
      </w:r>
      <w:r>
        <w:rPr>
          <w:spacing w:val="-2"/>
          <w:sz w:val="22"/>
        </w:rPr>
        <w:t>In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alignment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with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current</w:t>
      </w:r>
      <w:r>
        <w:rPr>
          <w:spacing w:val="-11"/>
          <w:sz w:val="22"/>
        </w:rPr>
        <w:t> </w:t>
      </w:r>
      <w:r>
        <w:rPr>
          <w:spacing w:val="-4"/>
          <w:sz w:val="22"/>
        </w:rPr>
        <w:t>IPHS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68" w:lineRule="auto" w:before="13" w:after="0"/>
        <w:ind w:left="721" w:right="1070" w:hanging="360"/>
        <w:jc w:val="left"/>
        <w:rPr>
          <w:sz w:val="22"/>
        </w:rPr>
      </w:pPr>
      <w:r>
        <w:rPr>
          <w:rFonts w:ascii="Arial Black" w:hAnsi="Arial Black"/>
          <w:sz w:val="22"/>
        </w:rPr>
        <w:t>Determining Factors: </w:t>
      </w:r>
      <w:r>
        <w:rPr>
          <w:sz w:val="22"/>
        </w:rPr>
        <w:t>Based on bed strength and functional beds within the </w:t>
      </w:r>
      <w:r>
        <w:rPr>
          <w:w w:val="105"/>
          <w:sz w:val="22"/>
        </w:rPr>
        <w:t>organization as well as criticality of patients and scope of services.</w:t>
      </w:r>
    </w:p>
    <w:p>
      <w:pPr>
        <w:pStyle w:val="BodyText"/>
      </w:pPr>
    </w:p>
    <w:p>
      <w:pPr>
        <w:pStyle w:val="BodyText"/>
        <w:spacing w:before="116"/>
      </w:pPr>
    </w:p>
    <w:p>
      <w:pPr>
        <w:pStyle w:val="Heading2"/>
        <w:ind w:firstLine="0"/>
        <w:rPr>
          <w:b w:val="0"/>
        </w:rPr>
      </w:pPr>
      <w:r>
        <w:rPr>
          <w:b w:val="0"/>
          <w:color w:val="00AFEF"/>
          <w:spacing w:val="-2"/>
        </w:rPr>
        <w:t>Consultants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174" w:after="0"/>
        <w:ind w:left="720" w:right="0" w:hanging="359"/>
        <w:jc w:val="left"/>
        <w:rPr>
          <w:rFonts w:ascii="Arial Black"/>
          <w:sz w:val="22"/>
        </w:rPr>
      </w:pPr>
      <w:r>
        <w:rPr>
          <w:rFonts w:ascii="Arial Black"/>
          <w:w w:val="90"/>
          <w:sz w:val="22"/>
        </w:rPr>
        <w:t>Full-Time</w:t>
      </w:r>
      <w:r>
        <w:rPr>
          <w:rFonts w:ascii="Arial Black"/>
          <w:spacing w:val="-7"/>
          <w:w w:val="90"/>
          <w:sz w:val="22"/>
        </w:rPr>
        <w:t> </w:t>
      </w:r>
      <w:r>
        <w:rPr>
          <w:rFonts w:ascii="Arial Black"/>
          <w:w w:val="90"/>
          <w:sz w:val="22"/>
        </w:rPr>
        <w:t>Consultants</w:t>
      </w:r>
      <w:r>
        <w:rPr>
          <w:rFonts w:ascii="Arial Black"/>
          <w:spacing w:val="-6"/>
          <w:w w:val="90"/>
          <w:sz w:val="22"/>
        </w:rPr>
        <w:t> </w:t>
      </w:r>
      <w:r>
        <w:rPr>
          <w:rFonts w:ascii="Arial Black"/>
          <w:w w:val="90"/>
          <w:sz w:val="22"/>
        </w:rPr>
        <w:t>(Accepted</w:t>
      </w:r>
      <w:r>
        <w:rPr>
          <w:rFonts w:ascii="Arial Black"/>
          <w:spacing w:val="-6"/>
          <w:w w:val="90"/>
          <w:sz w:val="22"/>
        </w:rPr>
        <w:t> </w:t>
      </w:r>
      <w:r>
        <w:rPr>
          <w:rFonts w:ascii="Arial Black"/>
          <w:w w:val="90"/>
          <w:sz w:val="22"/>
        </w:rPr>
        <w:t>under</w:t>
      </w:r>
      <w:r>
        <w:rPr>
          <w:rFonts w:ascii="Arial Black"/>
          <w:spacing w:val="-6"/>
          <w:w w:val="90"/>
          <w:sz w:val="22"/>
        </w:rPr>
        <w:t> </w:t>
      </w:r>
      <w:r>
        <w:rPr>
          <w:rFonts w:ascii="Arial Black"/>
          <w:spacing w:val="-2"/>
          <w:w w:val="90"/>
          <w:sz w:val="22"/>
        </w:rPr>
        <w:t>Scope)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36" w:after="0"/>
        <w:ind w:left="1440" w:right="0" w:hanging="359"/>
        <w:jc w:val="left"/>
        <w:rPr>
          <w:sz w:val="22"/>
        </w:rPr>
      </w:pPr>
      <w:r>
        <w:rPr>
          <w:spacing w:val="2"/>
          <w:sz w:val="22"/>
        </w:rPr>
        <w:t>Employment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on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the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organization’s</w:t>
      </w:r>
      <w:r>
        <w:rPr>
          <w:spacing w:val="33"/>
          <w:sz w:val="22"/>
        </w:rPr>
        <w:t> </w:t>
      </w:r>
      <w:r>
        <w:rPr>
          <w:spacing w:val="-2"/>
          <w:sz w:val="22"/>
        </w:rPr>
        <w:t>payroll.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headerReference w:type="default" r:id="rId5"/>
          <w:type w:val="continuous"/>
          <w:pgSz w:w="12240" w:h="15840"/>
          <w:pgMar w:header="328" w:footer="0" w:top="1340" w:bottom="280" w:left="1440" w:right="1080"/>
          <w:pgNumType w:start="1"/>
        </w:sectPr>
      </w:pP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105" w:after="0"/>
        <w:ind w:left="1440" w:right="0" w:hanging="359"/>
        <w:jc w:val="left"/>
        <w:rPr>
          <w:sz w:val="22"/>
        </w:rPr>
      </w:pPr>
      <w:r>
        <w:rPr>
          <w:sz w:val="22"/>
        </w:rPr>
        <w:t>Exclusive</w:t>
      </w:r>
      <w:r>
        <w:rPr>
          <w:spacing w:val="37"/>
          <w:sz w:val="22"/>
        </w:rPr>
        <w:t> </w:t>
      </w:r>
      <w:r>
        <w:rPr>
          <w:sz w:val="22"/>
        </w:rPr>
        <w:t>commitment</w:t>
      </w:r>
      <w:r>
        <w:rPr>
          <w:spacing w:val="38"/>
          <w:sz w:val="22"/>
        </w:rPr>
        <w:t> </w:t>
      </w:r>
      <w:r>
        <w:rPr>
          <w:sz w:val="22"/>
        </w:rPr>
        <w:t>to</w:t>
      </w:r>
      <w:r>
        <w:rPr>
          <w:spacing w:val="37"/>
          <w:sz w:val="22"/>
        </w:rPr>
        <w:t> </w:t>
      </w:r>
      <w:r>
        <w:rPr>
          <w:sz w:val="22"/>
        </w:rPr>
        <w:t>the</w:t>
      </w:r>
      <w:r>
        <w:rPr>
          <w:spacing w:val="38"/>
          <w:sz w:val="22"/>
        </w:rPr>
        <w:t> </w:t>
      </w:r>
      <w:r>
        <w:rPr>
          <w:spacing w:val="-2"/>
          <w:sz w:val="22"/>
        </w:rPr>
        <w:t>organization.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58" w:after="0"/>
        <w:ind w:left="1440" w:right="0" w:hanging="359"/>
        <w:jc w:val="left"/>
        <w:rPr>
          <w:sz w:val="22"/>
        </w:rPr>
      </w:pPr>
      <w:r>
        <w:rPr>
          <w:spacing w:val="2"/>
          <w:sz w:val="22"/>
        </w:rPr>
        <w:t>Granted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rights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for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outpatient,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inpatient,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and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emergency</w:t>
      </w:r>
      <w:r>
        <w:rPr>
          <w:spacing w:val="33"/>
          <w:sz w:val="22"/>
        </w:rPr>
        <w:t> </w:t>
      </w:r>
      <w:r>
        <w:rPr>
          <w:spacing w:val="-2"/>
          <w:sz w:val="22"/>
        </w:rPr>
        <w:t>operations.</w:t>
      </w:r>
    </w:p>
    <w:p>
      <w:pPr>
        <w:pStyle w:val="ListParagraph"/>
        <w:numPr>
          <w:ilvl w:val="1"/>
          <w:numId w:val="2"/>
        </w:numPr>
        <w:tabs>
          <w:tab w:pos="1442" w:val="left" w:leader="none"/>
        </w:tabs>
        <w:spacing w:line="292" w:lineRule="auto" w:before="59" w:after="0"/>
        <w:ind w:left="1442" w:right="1150" w:hanging="360"/>
        <w:jc w:val="left"/>
        <w:rPr>
          <w:sz w:val="22"/>
        </w:rPr>
      </w:pPr>
      <w:r>
        <w:rPr>
          <w:sz w:val="22"/>
        </w:rPr>
        <w:t>Procedural</w:t>
      </w:r>
      <w:r>
        <w:rPr>
          <w:spacing w:val="39"/>
          <w:sz w:val="22"/>
        </w:rPr>
        <w:t> </w:t>
      </w:r>
      <w:r>
        <w:rPr>
          <w:sz w:val="22"/>
        </w:rPr>
        <w:t>and</w:t>
      </w:r>
      <w:r>
        <w:rPr>
          <w:spacing w:val="39"/>
          <w:sz w:val="22"/>
        </w:rPr>
        <w:t> </w:t>
      </w:r>
      <w:r>
        <w:rPr>
          <w:sz w:val="22"/>
        </w:rPr>
        <w:t>emergency</w:t>
      </w:r>
      <w:r>
        <w:rPr>
          <w:spacing w:val="39"/>
          <w:sz w:val="22"/>
        </w:rPr>
        <w:t> </w:t>
      </w:r>
      <w:r>
        <w:rPr>
          <w:sz w:val="22"/>
        </w:rPr>
        <w:t>privileges</w:t>
      </w:r>
      <w:r>
        <w:rPr>
          <w:spacing w:val="39"/>
          <w:sz w:val="22"/>
        </w:rPr>
        <w:t> </w:t>
      </w:r>
      <w:r>
        <w:rPr>
          <w:sz w:val="22"/>
        </w:rPr>
        <w:t>are</w:t>
      </w:r>
      <w:r>
        <w:rPr>
          <w:spacing w:val="39"/>
          <w:sz w:val="22"/>
        </w:rPr>
        <w:t> </w:t>
      </w:r>
      <w:r>
        <w:rPr>
          <w:sz w:val="22"/>
        </w:rPr>
        <w:t>based</w:t>
      </w:r>
      <w:r>
        <w:rPr>
          <w:spacing w:val="39"/>
          <w:sz w:val="22"/>
        </w:rPr>
        <w:t> </w:t>
      </w:r>
      <w:r>
        <w:rPr>
          <w:sz w:val="22"/>
        </w:rPr>
        <w:t>on</w:t>
      </w:r>
      <w:r>
        <w:rPr>
          <w:spacing w:val="39"/>
          <w:sz w:val="22"/>
        </w:rPr>
        <w:t> </w:t>
      </w:r>
      <w:r>
        <w:rPr>
          <w:sz w:val="22"/>
        </w:rPr>
        <w:t>qualifications</w:t>
      </w:r>
      <w:r>
        <w:rPr>
          <w:spacing w:val="39"/>
          <w:sz w:val="22"/>
        </w:rPr>
        <w:t> </w:t>
      </w:r>
      <w:r>
        <w:rPr>
          <w:sz w:val="22"/>
        </w:rPr>
        <w:t>and </w:t>
      </w:r>
      <w:r>
        <w:rPr>
          <w:spacing w:val="-2"/>
          <w:w w:val="110"/>
          <w:sz w:val="22"/>
        </w:rPr>
        <w:t>credentials.</w:t>
      </w:r>
    </w:p>
    <w:p>
      <w:pPr>
        <w:pStyle w:val="BodyText"/>
        <w:spacing w:before="36"/>
      </w:pPr>
    </w:p>
    <w:p>
      <w:pPr>
        <w:pStyle w:val="Heading2"/>
        <w:numPr>
          <w:ilvl w:val="0"/>
          <w:numId w:val="2"/>
        </w:numPr>
        <w:tabs>
          <w:tab w:pos="720" w:val="left" w:leader="none"/>
        </w:tabs>
        <w:spacing w:line="240" w:lineRule="auto" w:before="0" w:after="0"/>
        <w:ind w:left="720" w:right="0" w:hanging="359"/>
        <w:jc w:val="left"/>
        <w:rPr>
          <w:b w:val="0"/>
        </w:rPr>
      </w:pPr>
      <w:r>
        <w:rPr>
          <w:b w:val="0"/>
          <w:w w:val="90"/>
        </w:rPr>
        <w:t>Part-Time</w:t>
      </w:r>
      <w:r>
        <w:rPr>
          <w:b w:val="0"/>
          <w:spacing w:val="-3"/>
          <w:w w:val="90"/>
        </w:rPr>
        <w:t> </w:t>
      </w:r>
      <w:r>
        <w:rPr>
          <w:b w:val="0"/>
          <w:w w:val="90"/>
        </w:rPr>
        <w:t>Consultants</w:t>
      </w:r>
      <w:r>
        <w:rPr>
          <w:b w:val="0"/>
          <w:spacing w:val="-3"/>
          <w:w w:val="90"/>
        </w:rPr>
        <w:t> </w:t>
      </w:r>
      <w:r>
        <w:rPr>
          <w:b w:val="0"/>
          <w:w w:val="90"/>
        </w:rPr>
        <w:t>(Accepted</w:t>
      </w:r>
      <w:r>
        <w:rPr>
          <w:b w:val="0"/>
          <w:spacing w:val="-3"/>
          <w:w w:val="90"/>
        </w:rPr>
        <w:t> </w:t>
      </w:r>
      <w:r>
        <w:rPr>
          <w:b w:val="0"/>
          <w:w w:val="90"/>
        </w:rPr>
        <w:t>under</w:t>
      </w:r>
      <w:r>
        <w:rPr>
          <w:b w:val="0"/>
          <w:spacing w:val="-2"/>
          <w:w w:val="90"/>
        </w:rPr>
        <w:t> Scope)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36" w:after="0"/>
        <w:ind w:left="1440" w:right="0" w:hanging="359"/>
        <w:jc w:val="left"/>
        <w:rPr>
          <w:sz w:val="22"/>
        </w:rPr>
      </w:pPr>
      <w:r>
        <w:rPr>
          <w:sz w:val="22"/>
        </w:rPr>
        <w:t>Regular</w:t>
      </w:r>
      <w:r>
        <w:rPr>
          <w:spacing w:val="42"/>
          <w:sz w:val="22"/>
        </w:rPr>
        <w:t> </w:t>
      </w:r>
      <w:r>
        <w:rPr>
          <w:sz w:val="22"/>
        </w:rPr>
        <w:t>outpatient</w:t>
      </w:r>
      <w:r>
        <w:rPr>
          <w:spacing w:val="43"/>
          <w:sz w:val="22"/>
        </w:rPr>
        <w:t> </w:t>
      </w:r>
      <w:r>
        <w:rPr>
          <w:sz w:val="22"/>
        </w:rPr>
        <w:t>services</w:t>
      </w:r>
      <w:r>
        <w:rPr>
          <w:spacing w:val="43"/>
          <w:sz w:val="22"/>
        </w:rPr>
        <w:t> </w:t>
      </w:r>
      <w:r>
        <w:rPr>
          <w:sz w:val="22"/>
        </w:rPr>
        <w:t>are</w:t>
      </w:r>
      <w:r>
        <w:rPr>
          <w:spacing w:val="43"/>
          <w:sz w:val="22"/>
        </w:rPr>
        <w:t> </w:t>
      </w:r>
      <w:r>
        <w:rPr>
          <w:sz w:val="22"/>
        </w:rPr>
        <w:t>provided</w:t>
      </w:r>
      <w:r>
        <w:rPr>
          <w:spacing w:val="43"/>
          <w:sz w:val="22"/>
        </w:rPr>
        <w:t> </w:t>
      </w:r>
      <w:r>
        <w:rPr>
          <w:sz w:val="22"/>
        </w:rPr>
        <w:t>on</w:t>
      </w:r>
      <w:r>
        <w:rPr>
          <w:spacing w:val="43"/>
          <w:sz w:val="22"/>
        </w:rPr>
        <w:t> </w:t>
      </w:r>
      <w:r>
        <w:rPr>
          <w:sz w:val="22"/>
        </w:rPr>
        <w:t>pre-</w:t>
      </w:r>
      <w:r>
        <w:rPr>
          <w:spacing w:val="43"/>
          <w:sz w:val="22"/>
        </w:rPr>
        <w:t> </w:t>
      </w:r>
      <w:r>
        <w:rPr>
          <w:sz w:val="22"/>
        </w:rPr>
        <w:t>determined</w:t>
      </w:r>
      <w:r>
        <w:rPr>
          <w:spacing w:val="43"/>
          <w:sz w:val="22"/>
        </w:rPr>
        <w:t> </w:t>
      </w:r>
      <w:r>
        <w:rPr>
          <w:spacing w:val="-2"/>
          <w:sz w:val="22"/>
        </w:rPr>
        <w:t>days/intervals.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58" w:after="0"/>
        <w:ind w:left="1440" w:right="0" w:hanging="359"/>
        <w:jc w:val="left"/>
        <w:rPr>
          <w:sz w:val="22"/>
        </w:rPr>
      </w:pPr>
      <w:r>
        <w:rPr>
          <w:sz w:val="22"/>
        </w:rPr>
        <w:t>Not</w:t>
      </w:r>
      <w:r>
        <w:rPr>
          <w:spacing w:val="20"/>
          <w:sz w:val="22"/>
        </w:rPr>
        <w:t> </w:t>
      </w:r>
      <w:r>
        <w:rPr>
          <w:sz w:val="22"/>
        </w:rPr>
        <w:t>exclusive</w:t>
      </w:r>
      <w:r>
        <w:rPr>
          <w:spacing w:val="20"/>
          <w:sz w:val="22"/>
        </w:rPr>
        <w:t> </w:t>
      </w:r>
      <w:r>
        <w:rPr>
          <w:sz w:val="22"/>
        </w:rPr>
        <w:t>to</w:t>
      </w:r>
      <w:r>
        <w:rPr>
          <w:spacing w:val="21"/>
          <w:sz w:val="22"/>
        </w:rPr>
        <w:t> </w:t>
      </w:r>
      <w:r>
        <w:rPr>
          <w:sz w:val="22"/>
        </w:rPr>
        <w:t>the</w:t>
      </w:r>
      <w:r>
        <w:rPr>
          <w:spacing w:val="20"/>
          <w:sz w:val="22"/>
        </w:rPr>
        <w:t> </w:t>
      </w:r>
      <w:r>
        <w:rPr>
          <w:spacing w:val="-2"/>
          <w:sz w:val="22"/>
        </w:rPr>
        <w:t>organization.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59" w:after="0"/>
        <w:ind w:left="1440" w:right="0" w:hanging="359"/>
        <w:jc w:val="left"/>
        <w:rPr>
          <w:sz w:val="22"/>
        </w:rPr>
      </w:pPr>
      <w:r>
        <w:rPr>
          <w:spacing w:val="2"/>
          <w:sz w:val="22"/>
        </w:rPr>
        <w:t>Procedural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and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emergency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rights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based</w:t>
      </w:r>
      <w:r>
        <w:rPr>
          <w:spacing w:val="33"/>
          <w:sz w:val="22"/>
        </w:rPr>
        <w:t> </w:t>
      </w:r>
      <w:r>
        <w:rPr>
          <w:spacing w:val="2"/>
          <w:sz w:val="22"/>
        </w:rPr>
        <w:t>on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individual</w:t>
      </w:r>
      <w:r>
        <w:rPr>
          <w:spacing w:val="34"/>
          <w:sz w:val="22"/>
        </w:rPr>
        <w:t> </w:t>
      </w:r>
      <w:r>
        <w:rPr>
          <w:spacing w:val="-2"/>
          <w:sz w:val="22"/>
        </w:rPr>
        <w:t>credentials.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58" w:after="0"/>
        <w:ind w:left="1440" w:right="0" w:hanging="359"/>
        <w:jc w:val="left"/>
        <w:rPr>
          <w:sz w:val="22"/>
        </w:rPr>
      </w:pPr>
      <w:r>
        <w:rPr>
          <w:spacing w:val="2"/>
          <w:sz w:val="22"/>
        </w:rPr>
        <w:t>Admitting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privileges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are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based</w:t>
      </w:r>
      <w:r>
        <w:rPr>
          <w:spacing w:val="35"/>
          <w:sz w:val="22"/>
        </w:rPr>
        <w:t> </w:t>
      </w:r>
      <w:r>
        <w:rPr>
          <w:spacing w:val="2"/>
          <w:sz w:val="22"/>
        </w:rPr>
        <w:t>on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qualifications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and</w:t>
      </w:r>
      <w:r>
        <w:rPr>
          <w:spacing w:val="35"/>
          <w:sz w:val="22"/>
        </w:rPr>
        <w:t> </w:t>
      </w:r>
      <w:r>
        <w:rPr>
          <w:spacing w:val="-2"/>
          <w:sz w:val="22"/>
        </w:rPr>
        <w:t>credentials.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59" w:after="0"/>
        <w:ind w:left="1440" w:right="0" w:hanging="359"/>
        <w:jc w:val="left"/>
        <w:rPr>
          <w:sz w:val="22"/>
        </w:rPr>
      </w:pPr>
      <w:r>
        <w:rPr>
          <w:spacing w:val="2"/>
          <w:sz w:val="22"/>
        </w:rPr>
        <w:t>Available</w:t>
      </w:r>
      <w:r>
        <w:rPr>
          <w:spacing w:val="36"/>
          <w:sz w:val="22"/>
        </w:rPr>
        <w:t> </w:t>
      </w:r>
      <w:r>
        <w:rPr>
          <w:spacing w:val="2"/>
          <w:sz w:val="22"/>
        </w:rPr>
        <w:t>during</w:t>
      </w:r>
      <w:r>
        <w:rPr>
          <w:spacing w:val="37"/>
          <w:sz w:val="22"/>
        </w:rPr>
        <w:t> </w:t>
      </w:r>
      <w:r>
        <w:rPr>
          <w:spacing w:val="-2"/>
          <w:sz w:val="22"/>
        </w:rPr>
        <w:t>emergencies.</w:t>
      </w:r>
    </w:p>
    <w:p>
      <w:pPr>
        <w:pStyle w:val="BodyText"/>
        <w:spacing w:before="94"/>
      </w:pPr>
    </w:p>
    <w:p>
      <w:pPr>
        <w:pStyle w:val="Heading2"/>
        <w:numPr>
          <w:ilvl w:val="0"/>
          <w:numId w:val="2"/>
        </w:numPr>
        <w:tabs>
          <w:tab w:pos="720" w:val="left" w:leader="none"/>
        </w:tabs>
        <w:spacing w:line="240" w:lineRule="auto" w:before="1" w:after="0"/>
        <w:ind w:left="720" w:right="0" w:hanging="359"/>
        <w:jc w:val="left"/>
        <w:rPr>
          <w:b w:val="0"/>
        </w:rPr>
      </w:pPr>
      <w:r>
        <w:rPr>
          <w:b w:val="0"/>
          <w:w w:val="90"/>
        </w:rPr>
        <w:t>Visiting</w:t>
      </w:r>
      <w:r>
        <w:rPr>
          <w:b w:val="0"/>
          <w:spacing w:val="-11"/>
          <w:w w:val="90"/>
        </w:rPr>
        <w:t> </w:t>
      </w:r>
      <w:r>
        <w:rPr>
          <w:b w:val="0"/>
          <w:w w:val="90"/>
        </w:rPr>
        <w:t>Consultants</w:t>
      </w:r>
      <w:r>
        <w:rPr>
          <w:b w:val="0"/>
          <w:spacing w:val="-10"/>
          <w:w w:val="90"/>
        </w:rPr>
        <w:t> </w:t>
      </w:r>
      <w:r>
        <w:rPr>
          <w:b w:val="0"/>
          <w:w w:val="90"/>
        </w:rPr>
        <w:t>(On</w:t>
      </w:r>
      <w:r>
        <w:rPr>
          <w:b w:val="0"/>
          <w:spacing w:val="-10"/>
          <w:w w:val="90"/>
        </w:rPr>
        <w:t> </w:t>
      </w:r>
      <w:r>
        <w:rPr>
          <w:b w:val="0"/>
          <w:w w:val="90"/>
        </w:rPr>
        <w:t>a</w:t>
      </w:r>
      <w:r>
        <w:rPr>
          <w:b w:val="0"/>
          <w:spacing w:val="-10"/>
          <w:w w:val="90"/>
        </w:rPr>
        <w:t> </w:t>
      </w:r>
      <w:r>
        <w:rPr>
          <w:b w:val="0"/>
          <w:w w:val="90"/>
        </w:rPr>
        <w:t>Case-by-Case</w:t>
      </w:r>
      <w:r>
        <w:rPr>
          <w:b w:val="0"/>
          <w:spacing w:val="-10"/>
          <w:w w:val="90"/>
        </w:rPr>
        <w:t> </w:t>
      </w:r>
      <w:r>
        <w:rPr>
          <w:b w:val="0"/>
          <w:w w:val="90"/>
        </w:rPr>
        <w:t>Basis</w:t>
      </w:r>
      <w:r>
        <w:rPr>
          <w:b w:val="0"/>
          <w:spacing w:val="-10"/>
          <w:w w:val="90"/>
        </w:rPr>
        <w:t> </w:t>
      </w:r>
      <w:r>
        <w:rPr>
          <w:b w:val="0"/>
          <w:w w:val="90"/>
        </w:rPr>
        <w:t>-</w:t>
      </w:r>
      <w:r>
        <w:rPr>
          <w:b w:val="0"/>
          <w:spacing w:val="-10"/>
          <w:w w:val="90"/>
        </w:rPr>
        <w:t> </w:t>
      </w:r>
      <w:r>
        <w:rPr>
          <w:b w:val="0"/>
          <w:w w:val="90"/>
        </w:rPr>
        <w:t>Not</w:t>
      </w:r>
      <w:r>
        <w:rPr>
          <w:b w:val="0"/>
          <w:spacing w:val="-10"/>
          <w:w w:val="90"/>
        </w:rPr>
        <w:t> </w:t>
      </w:r>
      <w:r>
        <w:rPr>
          <w:b w:val="0"/>
          <w:w w:val="90"/>
        </w:rPr>
        <w:t>Accepted</w:t>
      </w:r>
      <w:r>
        <w:rPr>
          <w:b w:val="0"/>
          <w:spacing w:val="-10"/>
          <w:w w:val="90"/>
        </w:rPr>
        <w:t> </w:t>
      </w:r>
      <w:r>
        <w:rPr>
          <w:b w:val="0"/>
          <w:w w:val="90"/>
        </w:rPr>
        <w:t>under</w:t>
      </w:r>
      <w:r>
        <w:rPr>
          <w:b w:val="0"/>
          <w:spacing w:val="-10"/>
          <w:w w:val="90"/>
        </w:rPr>
        <w:t> </w:t>
      </w:r>
      <w:r>
        <w:rPr>
          <w:b w:val="0"/>
          <w:spacing w:val="-2"/>
          <w:w w:val="90"/>
        </w:rPr>
        <w:t>Scope)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35" w:after="0"/>
        <w:ind w:left="1440" w:right="0" w:hanging="359"/>
        <w:jc w:val="left"/>
        <w:rPr>
          <w:sz w:val="22"/>
        </w:rPr>
      </w:pPr>
      <w:r>
        <w:rPr>
          <w:sz w:val="22"/>
        </w:rPr>
        <w:t>Limited</w:t>
      </w:r>
      <w:r>
        <w:rPr>
          <w:spacing w:val="40"/>
          <w:sz w:val="22"/>
        </w:rPr>
        <w:t> </w:t>
      </w:r>
      <w:r>
        <w:rPr>
          <w:sz w:val="22"/>
        </w:rPr>
        <w:t>or</w:t>
      </w:r>
      <w:r>
        <w:rPr>
          <w:spacing w:val="40"/>
          <w:sz w:val="22"/>
        </w:rPr>
        <w:t> </w:t>
      </w:r>
      <w:r>
        <w:rPr>
          <w:sz w:val="22"/>
        </w:rPr>
        <w:t>no</w:t>
      </w:r>
      <w:r>
        <w:rPr>
          <w:spacing w:val="40"/>
          <w:sz w:val="22"/>
        </w:rPr>
        <w:t> </w:t>
      </w:r>
      <w:r>
        <w:rPr>
          <w:sz w:val="22"/>
        </w:rPr>
        <w:t>regular</w:t>
      </w:r>
      <w:r>
        <w:rPr>
          <w:spacing w:val="40"/>
          <w:sz w:val="22"/>
        </w:rPr>
        <w:t> </w:t>
      </w:r>
      <w:r>
        <w:rPr>
          <w:sz w:val="22"/>
        </w:rPr>
        <w:t>outpatient</w:t>
      </w:r>
      <w:r>
        <w:rPr>
          <w:spacing w:val="41"/>
          <w:sz w:val="22"/>
        </w:rPr>
        <w:t> </w:t>
      </w:r>
      <w:r>
        <w:rPr>
          <w:spacing w:val="-2"/>
          <w:sz w:val="22"/>
        </w:rPr>
        <w:t>operations.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59" w:after="0"/>
        <w:ind w:left="1440" w:right="0" w:hanging="359"/>
        <w:jc w:val="left"/>
        <w:rPr>
          <w:sz w:val="22"/>
        </w:rPr>
      </w:pPr>
      <w:r>
        <w:rPr>
          <w:sz w:val="22"/>
        </w:rPr>
        <w:t>Not</w:t>
      </w:r>
      <w:r>
        <w:rPr>
          <w:spacing w:val="20"/>
          <w:sz w:val="22"/>
        </w:rPr>
        <w:t> </w:t>
      </w:r>
      <w:r>
        <w:rPr>
          <w:sz w:val="22"/>
        </w:rPr>
        <w:t>exclusive</w:t>
      </w:r>
      <w:r>
        <w:rPr>
          <w:spacing w:val="20"/>
          <w:sz w:val="22"/>
        </w:rPr>
        <w:t> </w:t>
      </w:r>
      <w:r>
        <w:rPr>
          <w:sz w:val="22"/>
        </w:rPr>
        <w:t>to</w:t>
      </w:r>
      <w:r>
        <w:rPr>
          <w:spacing w:val="21"/>
          <w:sz w:val="22"/>
        </w:rPr>
        <w:t> </w:t>
      </w:r>
      <w:r>
        <w:rPr>
          <w:sz w:val="22"/>
        </w:rPr>
        <w:t>the</w:t>
      </w:r>
      <w:r>
        <w:rPr>
          <w:spacing w:val="20"/>
          <w:sz w:val="22"/>
        </w:rPr>
        <w:t> </w:t>
      </w:r>
      <w:r>
        <w:rPr>
          <w:spacing w:val="-2"/>
          <w:sz w:val="22"/>
        </w:rPr>
        <w:t>organization.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58" w:after="0"/>
        <w:ind w:left="1440" w:right="0" w:hanging="359"/>
        <w:jc w:val="left"/>
        <w:rPr>
          <w:sz w:val="22"/>
        </w:rPr>
      </w:pPr>
      <w:r>
        <w:rPr>
          <w:spacing w:val="4"/>
          <w:sz w:val="22"/>
        </w:rPr>
        <w:t>Credentials-based</w:t>
      </w:r>
      <w:r>
        <w:rPr>
          <w:spacing w:val="39"/>
          <w:sz w:val="22"/>
        </w:rPr>
        <w:t> </w:t>
      </w:r>
      <w:r>
        <w:rPr>
          <w:spacing w:val="4"/>
          <w:sz w:val="22"/>
        </w:rPr>
        <w:t>admitting</w:t>
      </w:r>
      <w:r>
        <w:rPr>
          <w:spacing w:val="39"/>
          <w:sz w:val="22"/>
        </w:rPr>
        <w:t> </w:t>
      </w:r>
      <w:r>
        <w:rPr>
          <w:spacing w:val="-2"/>
          <w:sz w:val="22"/>
        </w:rPr>
        <w:t>rights.</w:t>
      </w:r>
    </w:p>
    <w:p>
      <w:pPr>
        <w:pStyle w:val="ListParagraph"/>
        <w:numPr>
          <w:ilvl w:val="1"/>
          <w:numId w:val="2"/>
        </w:numPr>
        <w:tabs>
          <w:tab w:pos="1440" w:val="left" w:leader="none"/>
        </w:tabs>
        <w:spacing w:line="240" w:lineRule="auto" w:before="59" w:after="0"/>
        <w:ind w:left="1440" w:right="0" w:hanging="359"/>
        <w:jc w:val="left"/>
        <w:rPr>
          <w:sz w:val="22"/>
        </w:rPr>
      </w:pPr>
      <w:r>
        <w:rPr>
          <w:sz w:val="22"/>
        </w:rPr>
        <w:t>May</w:t>
      </w:r>
      <w:r>
        <w:rPr>
          <w:spacing w:val="26"/>
          <w:sz w:val="22"/>
        </w:rPr>
        <w:t> </w:t>
      </w:r>
      <w:r>
        <w:rPr>
          <w:sz w:val="22"/>
        </w:rPr>
        <w:t>or</w:t>
      </w:r>
      <w:r>
        <w:rPr>
          <w:spacing w:val="27"/>
          <w:sz w:val="22"/>
        </w:rPr>
        <w:t> </w:t>
      </w:r>
      <w:r>
        <w:rPr>
          <w:sz w:val="22"/>
        </w:rPr>
        <w:t>may</w:t>
      </w:r>
      <w:r>
        <w:rPr>
          <w:spacing w:val="27"/>
          <w:sz w:val="22"/>
        </w:rPr>
        <w:t> </w:t>
      </w:r>
      <w:r>
        <w:rPr>
          <w:sz w:val="22"/>
        </w:rPr>
        <w:t>not</w:t>
      </w:r>
      <w:r>
        <w:rPr>
          <w:spacing w:val="27"/>
          <w:sz w:val="22"/>
        </w:rPr>
        <w:t> </w:t>
      </w:r>
      <w:r>
        <w:rPr>
          <w:sz w:val="22"/>
        </w:rPr>
        <w:t>be</w:t>
      </w:r>
      <w:r>
        <w:rPr>
          <w:spacing w:val="27"/>
          <w:sz w:val="22"/>
        </w:rPr>
        <w:t> </w:t>
      </w:r>
      <w:r>
        <w:rPr>
          <w:sz w:val="22"/>
        </w:rPr>
        <w:t>available</w:t>
      </w:r>
      <w:r>
        <w:rPr>
          <w:spacing w:val="27"/>
          <w:sz w:val="22"/>
        </w:rPr>
        <w:t> </w:t>
      </w:r>
      <w:r>
        <w:rPr>
          <w:sz w:val="22"/>
        </w:rPr>
        <w:t>during</w:t>
      </w:r>
      <w:r>
        <w:rPr>
          <w:spacing w:val="27"/>
          <w:sz w:val="22"/>
        </w:rPr>
        <w:t> </w:t>
      </w:r>
      <w:r>
        <w:rPr>
          <w:spacing w:val="-2"/>
          <w:sz w:val="22"/>
        </w:rPr>
        <w:t>emergencies.</w:t>
      </w:r>
    </w:p>
    <w:p>
      <w:pPr>
        <w:pStyle w:val="BodyText"/>
      </w:pPr>
    </w:p>
    <w:p>
      <w:pPr>
        <w:pStyle w:val="BodyText"/>
        <w:spacing w:before="11"/>
      </w:pPr>
    </w:p>
    <w:p>
      <w:pPr>
        <w:pStyle w:val="BodyText"/>
        <w:ind w:left="1"/>
      </w:pPr>
      <w:r>
        <w:rPr>
          <w:color w:val="00AFEF"/>
          <w:spacing w:val="-2"/>
          <w:w w:val="110"/>
        </w:rPr>
        <w:t>Disclaimer</w:t>
      </w:r>
    </w:p>
    <w:p>
      <w:pPr>
        <w:pStyle w:val="BodyText"/>
        <w:spacing w:line="292" w:lineRule="auto" w:before="219"/>
        <w:ind w:left="1" w:right="273"/>
      </w:pPr>
      <w:r>
        <w:rPr>
          <w:w w:val="110"/>
        </w:rPr>
        <w:t>The</w:t>
      </w:r>
      <w:r>
        <w:rPr>
          <w:spacing w:val="-15"/>
          <w:w w:val="110"/>
        </w:rPr>
        <w:t> </w:t>
      </w:r>
      <w:r>
        <w:rPr>
          <w:w w:val="110"/>
        </w:rPr>
        <w:t>content</w:t>
      </w:r>
      <w:r>
        <w:rPr>
          <w:spacing w:val="-15"/>
          <w:w w:val="110"/>
        </w:rPr>
        <w:t> </w:t>
      </w:r>
      <w:r>
        <w:rPr>
          <w:w w:val="110"/>
        </w:rPr>
        <w:t>of</w:t>
      </w:r>
      <w:r>
        <w:rPr>
          <w:spacing w:val="-15"/>
          <w:w w:val="110"/>
        </w:rPr>
        <w:t> </w:t>
      </w:r>
      <w:r>
        <w:rPr>
          <w:w w:val="110"/>
        </w:rPr>
        <w:t>the</w:t>
      </w:r>
      <w:r>
        <w:rPr>
          <w:spacing w:val="-15"/>
          <w:w w:val="110"/>
        </w:rPr>
        <w:t> </w:t>
      </w:r>
      <w:r>
        <w:rPr>
          <w:w w:val="110"/>
        </w:rPr>
        <w:t>E-mitra</w:t>
      </w:r>
      <w:r>
        <w:rPr>
          <w:spacing w:val="-15"/>
          <w:w w:val="110"/>
        </w:rPr>
        <w:t> </w:t>
      </w:r>
      <w:r>
        <w:rPr>
          <w:w w:val="110"/>
        </w:rPr>
        <w:t>is</w:t>
      </w:r>
      <w:r>
        <w:rPr>
          <w:spacing w:val="-15"/>
          <w:w w:val="110"/>
        </w:rPr>
        <w:t> </w:t>
      </w:r>
      <w:r>
        <w:rPr>
          <w:w w:val="110"/>
        </w:rPr>
        <w:t>intended</w:t>
      </w:r>
      <w:r>
        <w:rPr>
          <w:spacing w:val="-15"/>
          <w:w w:val="110"/>
        </w:rPr>
        <w:t> </w:t>
      </w:r>
      <w:r>
        <w:rPr>
          <w:w w:val="110"/>
        </w:rPr>
        <w:t>to</w:t>
      </w:r>
      <w:r>
        <w:rPr>
          <w:spacing w:val="-15"/>
          <w:w w:val="110"/>
        </w:rPr>
        <w:t> </w:t>
      </w:r>
      <w:r>
        <w:rPr>
          <w:w w:val="110"/>
        </w:rPr>
        <w:t>serve</w:t>
      </w:r>
      <w:r>
        <w:rPr>
          <w:spacing w:val="-15"/>
          <w:w w:val="110"/>
        </w:rPr>
        <w:t> </w:t>
      </w:r>
      <w:r>
        <w:rPr>
          <w:w w:val="110"/>
        </w:rPr>
        <w:t>as</w:t>
      </w:r>
      <w:r>
        <w:rPr>
          <w:spacing w:val="-15"/>
          <w:w w:val="110"/>
        </w:rPr>
        <w:t> </w:t>
      </w:r>
      <w:r>
        <w:rPr>
          <w:w w:val="110"/>
        </w:rPr>
        <w:t>a</w:t>
      </w:r>
      <w:r>
        <w:rPr>
          <w:spacing w:val="-15"/>
          <w:w w:val="110"/>
        </w:rPr>
        <w:t> </w:t>
      </w:r>
      <w:r>
        <w:rPr>
          <w:w w:val="110"/>
        </w:rPr>
        <w:t>sample</w:t>
      </w:r>
      <w:r>
        <w:rPr>
          <w:spacing w:val="-15"/>
          <w:w w:val="110"/>
        </w:rPr>
        <w:t> </w:t>
      </w:r>
      <w:r>
        <w:rPr>
          <w:w w:val="110"/>
        </w:rPr>
        <w:t>and</w:t>
      </w:r>
      <w:r>
        <w:rPr>
          <w:spacing w:val="-15"/>
          <w:w w:val="110"/>
        </w:rPr>
        <w:t> </w:t>
      </w:r>
      <w:r>
        <w:rPr>
          <w:w w:val="110"/>
        </w:rPr>
        <w:t>guide</w:t>
      </w:r>
      <w:r>
        <w:rPr>
          <w:spacing w:val="-15"/>
          <w:w w:val="110"/>
        </w:rPr>
        <w:t> </w:t>
      </w:r>
      <w:r>
        <w:rPr>
          <w:w w:val="110"/>
        </w:rPr>
        <w:t>for</w:t>
      </w:r>
      <w:r>
        <w:rPr>
          <w:spacing w:val="-15"/>
          <w:w w:val="110"/>
        </w:rPr>
        <w:t> </w:t>
      </w:r>
      <w:r>
        <w:rPr>
          <w:w w:val="110"/>
        </w:rPr>
        <w:t>better understanding</w:t>
      </w:r>
      <w:r>
        <w:rPr>
          <w:spacing w:val="-17"/>
          <w:w w:val="110"/>
        </w:rPr>
        <w:t> </w:t>
      </w:r>
      <w:r>
        <w:rPr>
          <w:w w:val="110"/>
        </w:rPr>
        <w:t>the</w:t>
      </w:r>
      <w:r>
        <w:rPr>
          <w:spacing w:val="-17"/>
          <w:w w:val="110"/>
        </w:rPr>
        <w:t> </w:t>
      </w:r>
      <w:r>
        <w:rPr>
          <w:w w:val="110"/>
        </w:rPr>
        <w:t>NABH</w:t>
      </w:r>
      <w:r>
        <w:rPr>
          <w:spacing w:val="-17"/>
          <w:w w:val="110"/>
        </w:rPr>
        <w:t> </w:t>
      </w:r>
      <w:r>
        <w:rPr>
          <w:w w:val="110"/>
        </w:rPr>
        <w:t>Entry</w:t>
      </w:r>
      <w:r>
        <w:rPr>
          <w:spacing w:val="-17"/>
          <w:w w:val="110"/>
        </w:rPr>
        <w:t> </w:t>
      </w:r>
      <w:r>
        <w:rPr>
          <w:w w:val="110"/>
        </w:rPr>
        <w:t>Level</w:t>
      </w:r>
      <w:r>
        <w:rPr>
          <w:spacing w:val="-17"/>
          <w:w w:val="110"/>
        </w:rPr>
        <w:t> </w:t>
      </w:r>
      <w:r>
        <w:rPr>
          <w:w w:val="110"/>
        </w:rPr>
        <w:t>Standards.</w:t>
      </w:r>
      <w:r>
        <w:rPr>
          <w:spacing w:val="-17"/>
          <w:w w:val="110"/>
        </w:rPr>
        <w:t> </w:t>
      </w:r>
      <w:r>
        <w:rPr>
          <w:w w:val="110"/>
        </w:rPr>
        <w:t>It</w:t>
      </w:r>
      <w:r>
        <w:rPr>
          <w:spacing w:val="-17"/>
          <w:w w:val="110"/>
        </w:rPr>
        <w:t> </w:t>
      </w:r>
      <w:r>
        <w:rPr>
          <w:w w:val="110"/>
        </w:rPr>
        <w:t>is</w:t>
      </w:r>
      <w:r>
        <w:rPr>
          <w:spacing w:val="-17"/>
          <w:w w:val="110"/>
        </w:rPr>
        <w:t> </w:t>
      </w:r>
      <w:r>
        <w:rPr>
          <w:w w:val="110"/>
        </w:rPr>
        <w:t>not</w:t>
      </w:r>
      <w:r>
        <w:rPr>
          <w:spacing w:val="-17"/>
          <w:w w:val="110"/>
        </w:rPr>
        <w:t> </w:t>
      </w:r>
      <w:r>
        <w:rPr>
          <w:w w:val="110"/>
        </w:rPr>
        <w:t>prescribed</w:t>
      </w:r>
      <w:r>
        <w:rPr>
          <w:spacing w:val="-17"/>
          <w:w w:val="110"/>
        </w:rPr>
        <w:t> </w:t>
      </w:r>
      <w:r>
        <w:rPr>
          <w:w w:val="110"/>
        </w:rPr>
        <w:t>by</w:t>
      </w:r>
      <w:r>
        <w:rPr>
          <w:spacing w:val="-17"/>
          <w:w w:val="110"/>
        </w:rPr>
        <w:t> </w:t>
      </w:r>
      <w:r>
        <w:rPr>
          <w:w w:val="110"/>
        </w:rPr>
        <w:t>NABH</w:t>
      </w:r>
      <w:r>
        <w:rPr>
          <w:spacing w:val="-17"/>
          <w:w w:val="110"/>
        </w:rPr>
        <w:t> </w:t>
      </w:r>
      <w:r>
        <w:rPr>
          <w:w w:val="110"/>
        </w:rPr>
        <w:t>as</w:t>
      </w:r>
      <w:r>
        <w:rPr>
          <w:spacing w:val="-17"/>
          <w:w w:val="110"/>
        </w:rPr>
        <w:t> </w:t>
      </w:r>
      <w:r>
        <w:rPr>
          <w:w w:val="110"/>
        </w:rPr>
        <w:t>the </w:t>
      </w:r>
      <w:r>
        <w:rPr/>
        <w:t>exclusive</w:t>
      </w:r>
      <w:r>
        <w:rPr>
          <w:spacing w:val="40"/>
        </w:rPr>
        <w:t> </w:t>
      </w:r>
      <w:r>
        <w:rPr/>
        <w:t>or</w:t>
      </w:r>
      <w:r>
        <w:rPr>
          <w:spacing w:val="40"/>
        </w:rPr>
        <w:t> </w:t>
      </w:r>
      <w:r>
        <w:rPr/>
        <w:t>only</w:t>
      </w:r>
      <w:r>
        <w:rPr>
          <w:spacing w:val="40"/>
        </w:rPr>
        <w:t> </w:t>
      </w:r>
      <w:r>
        <w:rPr/>
        <w:t>way</w:t>
      </w:r>
      <w:r>
        <w:rPr>
          <w:spacing w:val="40"/>
        </w:rPr>
        <w:t> </w:t>
      </w:r>
      <w:r>
        <w:rPr/>
        <w:t>to</w:t>
      </w:r>
      <w:r>
        <w:rPr>
          <w:spacing w:val="40"/>
        </w:rPr>
        <w:t> </w:t>
      </w:r>
      <w:r>
        <w:rPr/>
        <w:t>meet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standards.</w:t>
      </w:r>
      <w:r>
        <w:rPr>
          <w:spacing w:val="40"/>
        </w:rPr>
        <w:t> </w:t>
      </w:r>
      <w:r>
        <w:rPr/>
        <w:t>Healthcare</w:t>
      </w:r>
      <w:r>
        <w:rPr>
          <w:spacing w:val="40"/>
        </w:rPr>
        <w:t> </w:t>
      </w:r>
      <w:r>
        <w:rPr/>
        <w:t>organizations</w:t>
      </w:r>
      <w:r>
        <w:rPr>
          <w:spacing w:val="40"/>
        </w:rPr>
        <w:t> </w:t>
      </w:r>
      <w:r>
        <w:rPr/>
        <w:t>are</w:t>
      </w:r>
      <w:r>
        <w:rPr>
          <w:spacing w:val="40"/>
        </w:rPr>
        <w:t> </w:t>
      </w:r>
      <w:r>
        <w:rPr/>
        <w:t>encouraged</w:t>
      </w:r>
      <w:r>
        <w:rPr>
          <w:spacing w:val="40"/>
        </w:rPr>
        <w:t> </w:t>
      </w:r>
      <w:r>
        <w:rPr/>
        <w:t>to </w:t>
      </w:r>
      <w:r>
        <w:rPr>
          <w:spacing w:val="-2"/>
          <w:w w:val="110"/>
        </w:rPr>
        <w:t>adapt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modify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materials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according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to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their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own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scope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of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services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operational </w:t>
      </w:r>
      <w:r>
        <w:rPr>
          <w:w w:val="110"/>
        </w:rPr>
        <w:t>needs.</w:t>
      </w:r>
      <w:r>
        <w:rPr>
          <w:spacing w:val="-9"/>
          <w:w w:val="110"/>
        </w:rPr>
        <w:t> </w:t>
      </w:r>
      <w:r>
        <w:rPr>
          <w:w w:val="110"/>
        </w:rPr>
        <w:t>NABH</w:t>
      </w:r>
      <w:r>
        <w:rPr>
          <w:spacing w:val="-9"/>
          <w:w w:val="110"/>
        </w:rPr>
        <w:t> </w:t>
      </w:r>
      <w:r>
        <w:rPr>
          <w:w w:val="110"/>
        </w:rPr>
        <w:t>is</w:t>
      </w:r>
      <w:r>
        <w:rPr>
          <w:spacing w:val="-9"/>
          <w:w w:val="110"/>
        </w:rPr>
        <w:t> </w:t>
      </w:r>
      <w:r>
        <w:rPr>
          <w:w w:val="110"/>
        </w:rPr>
        <w:t>not</w:t>
      </w:r>
      <w:r>
        <w:rPr>
          <w:spacing w:val="-9"/>
          <w:w w:val="110"/>
        </w:rPr>
        <w:t> </w:t>
      </w:r>
      <w:r>
        <w:rPr>
          <w:w w:val="110"/>
        </w:rPr>
        <w:t>liable</w:t>
      </w:r>
      <w:r>
        <w:rPr>
          <w:spacing w:val="-9"/>
          <w:w w:val="110"/>
        </w:rPr>
        <w:t> </w:t>
      </w:r>
      <w:r>
        <w:rPr>
          <w:w w:val="110"/>
        </w:rPr>
        <w:t>for</w:t>
      </w:r>
      <w:r>
        <w:rPr>
          <w:spacing w:val="-9"/>
          <w:w w:val="110"/>
        </w:rPr>
        <w:t> </w:t>
      </w:r>
      <w:r>
        <w:rPr>
          <w:w w:val="110"/>
        </w:rPr>
        <w:t>any</w:t>
      </w:r>
      <w:r>
        <w:rPr>
          <w:spacing w:val="-9"/>
          <w:w w:val="110"/>
        </w:rPr>
        <w:t> </w:t>
      </w:r>
      <w:r>
        <w:rPr>
          <w:w w:val="110"/>
        </w:rPr>
        <w:t>misinterpretations</w:t>
      </w:r>
      <w:r>
        <w:rPr>
          <w:spacing w:val="-9"/>
          <w:w w:val="110"/>
        </w:rPr>
        <w:t> </w:t>
      </w:r>
      <w:r>
        <w:rPr>
          <w:w w:val="110"/>
        </w:rPr>
        <w:t>or</w:t>
      </w:r>
      <w:r>
        <w:rPr>
          <w:spacing w:val="-9"/>
          <w:w w:val="110"/>
        </w:rPr>
        <w:t> </w:t>
      </w:r>
      <w:r>
        <w:rPr>
          <w:w w:val="110"/>
        </w:rPr>
        <w:t>errors</w:t>
      </w:r>
      <w:r>
        <w:rPr>
          <w:spacing w:val="-9"/>
          <w:w w:val="110"/>
        </w:rPr>
        <w:t> </w:t>
      </w:r>
      <w:r>
        <w:rPr>
          <w:w w:val="110"/>
        </w:rPr>
        <w:t>resulting</w:t>
      </w:r>
      <w:r>
        <w:rPr>
          <w:spacing w:val="-9"/>
          <w:w w:val="110"/>
        </w:rPr>
        <w:t> </w:t>
      </w:r>
      <w:r>
        <w:rPr>
          <w:w w:val="110"/>
        </w:rPr>
        <w:t>from</w:t>
      </w:r>
      <w:r>
        <w:rPr>
          <w:spacing w:val="-9"/>
          <w:w w:val="110"/>
        </w:rPr>
        <w:t> </w:t>
      </w:r>
      <w:r>
        <w:rPr>
          <w:w w:val="110"/>
        </w:rPr>
        <w:t>the </w:t>
      </w:r>
      <w:r>
        <w:rPr/>
        <w:t>unmodified</w:t>
      </w:r>
      <w:r>
        <w:rPr>
          <w:spacing w:val="40"/>
        </w:rPr>
        <w:t> </w:t>
      </w:r>
      <w:r>
        <w:rPr/>
        <w:t>use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this</w:t>
      </w:r>
      <w:r>
        <w:rPr>
          <w:spacing w:val="40"/>
        </w:rPr>
        <w:t> </w:t>
      </w:r>
      <w:r>
        <w:rPr/>
        <w:t>material,</w:t>
      </w:r>
      <w:r>
        <w:rPr>
          <w:spacing w:val="40"/>
        </w:rPr>
        <w:t> </w:t>
      </w:r>
      <w:r>
        <w:rPr/>
        <w:t>or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any</w:t>
      </w:r>
      <w:r>
        <w:rPr>
          <w:spacing w:val="40"/>
        </w:rPr>
        <w:t> </w:t>
      </w:r>
      <w:r>
        <w:rPr/>
        <w:t>non-compliance</w:t>
      </w:r>
      <w:r>
        <w:rPr>
          <w:spacing w:val="40"/>
        </w:rPr>
        <w:t> </w:t>
      </w:r>
      <w:r>
        <w:rPr/>
        <w:t>during</w:t>
      </w:r>
      <w:r>
        <w:rPr>
          <w:spacing w:val="40"/>
        </w:rPr>
        <w:t> </w:t>
      </w:r>
      <w:r>
        <w:rPr/>
        <w:t>assessments</w:t>
      </w:r>
      <w:r>
        <w:rPr>
          <w:spacing w:val="40"/>
        </w:rPr>
        <w:t> </w:t>
      </w:r>
      <w:r>
        <w:rPr/>
        <w:t>that</w:t>
      </w:r>
      <w:r>
        <w:rPr>
          <w:spacing w:val="40"/>
        </w:rPr>
        <w:t> </w:t>
      </w:r>
      <w:r>
        <w:rPr/>
        <w:t>may </w:t>
      </w:r>
      <w:r>
        <w:rPr>
          <w:w w:val="110"/>
        </w:rPr>
        <w:t>arise because of such actions.</w:t>
      </w:r>
    </w:p>
    <w:sectPr>
      <w:pgSz w:w="12240" w:h="15840"/>
      <w:pgMar w:header="328" w:footer="0" w:top="134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4832">
              <wp:simplePos x="0" y="0"/>
              <wp:positionH relativeFrom="page">
                <wp:posOffset>5448300</wp:posOffset>
              </wp:positionH>
              <wp:positionV relativeFrom="page">
                <wp:posOffset>208279</wp:posOffset>
              </wp:positionV>
              <wp:extent cx="2007870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7870" cy="548005"/>
                        <a:chExt cx="2007870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689" y="128904"/>
                          <a:ext cx="932179" cy="29717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855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9pt;margin-top:16.4pt;width:158.1pt;height:43.15pt;mso-position-horizontal-relative:page;mso-position-vertical-relative:page;z-index:-15771648" id="docshapegroup1" coordorigin="8580,328" coordsize="3162,863">
              <v:shape style="position:absolute;left:10274;top:531;width:1468;height:468" type="#_x0000_t75" id="docshape2" stroked="false">
                <v:imagedata r:id="rId1" o:title=""/>
              </v:shape>
              <v:shape style="position:absolute;left:8580;top:328;width:1856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22" w:hanging="360"/>
        <w:jc w:val="left"/>
      </w:pPr>
      <w:rPr>
        <w:rFonts w:hint="default" w:ascii="Arial Black" w:hAnsi="Arial Black" w:eastAsia="Arial Black" w:cs="Arial Black"/>
        <w:b w:val="0"/>
        <w:bCs w:val="0"/>
        <w:i w:val="0"/>
        <w:iCs w:val="0"/>
        <w:spacing w:val="0"/>
        <w:w w:val="85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42" w:hanging="360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1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353"/>
      <w:jc w:val="center"/>
      <w:outlineLvl w:val="1"/>
    </w:pPr>
    <w:rPr>
      <w:rFonts w:ascii="Tahoma" w:hAnsi="Tahoma" w:eastAsia="Tahoma" w:cs="Tahoma"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" w:hanging="359"/>
      <w:outlineLvl w:val="2"/>
    </w:pPr>
    <w:rPr>
      <w:rFonts w:ascii="Arial Black" w:hAnsi="Arial Black" w:eastAsia="Arial Black" w:cs="Arial Black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8"/>
      <w:ind w:left="1440" w:hanging="359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Barik</dc:creator>
  <dcterms:created xsi:type="dcterms:W3CDTF">2026-08-28T07:12:22Z</dcterms:created>
  <dcterms:modified xsi:type="dcterms:W3CDTF">2026-08-28T07:12:22Z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2026-06-03T00:00:00Z</vt:filetime>
  </property>
</Properties>
</file>