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0"/>
        <w:rPr>
          <w:rFonts w:ascii="Times New Roman"/>
          <w:sz w:val="20"/>
        </w:rPr>
      </w:pPr>
    </w:p>
    <w:p>
      <w:pPr>
        <w:spacing w:line="271" w:lineRule="auto" w:before="0"/>
        <w:ind w:left="651" w:right="928" w:firstLine="0"/>
        <w:jc w:val="center"/>
        <w:rPr>
          <w:sz w:val="20"/>
        </w:rPr>
      </w:pPr>
      <w:r>
        <w:rPr>
          <w:w w:val="105"/>
          <w:sz w:val="20"/>
        </w:rPr>
        <w:t>Document ID EM/GUIDE/04/V2.0 Document Version 02 Document Category Guideline Issue Date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05/2026</w:t>
      </w:r>
    </w:p>
    <w:p>
      <w:pPr>
        <w:pStyle w:val="BodyText"/>
        <w:rPr>
          <w:sz w:val="20"/>
        </w:rPr>
      </w:pPr>
    </w:p>
    <w:p>
      <w:pPr>
        <w:pStyle w:val="BodyText"/>
        <w:spacing w:before="132"/>
        <w:rPr>
          <w:sz w:val="20"/>
        </w:rPr>
      </w:pPr>
    </w:p>
    <w:p>
      <w:pPr>
        <w:pStyle w:val="Title"/>
      </w:pPr>
      <w:r>
        <w:rPr>
          <w:color w:val="00AFEF"/>
        </w:rPr>
        <w:t>List</w:t>
      </w:r>
      <w:r>
        <w:rPr>
          <w:color w:val="00AFEF"/>
          <w:spacing w:val="18"/>
        </w:rPr>
        <w:t> </w:t>
      </w:r>
      <w:r>
        <w:rPr>
          <w:color w:val="00AFEF"/>
        </w:rPr>
        <w:t>of</w:t>
      </w:r>
      <w:r>
        <w:rPr>
          <w:color w:val="00AFEF"/>
          <w:spacing w:val="18"/>
        </w:rPr>
        <w:t> </w:t>
      </w:r>
      <w:r>
        <w:rPr>
          <w:color w:val="00AFEF"/>
          <w:spacing w:val="-2"/>
        </w:rPr>
        <w:t>Policies</w:t>
      </w: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2"/>
        <w:gridCol w:w="1340"/>
        <w:gridCol w:w="4696"/>
      </w:tblGrid>
      <w:tr>
        <w:trPr>
          <w:trHeight w:val="620" w:hRule="atLeast"/>
        </w:trPr>
        <w:tc>
          <w:tcPr>
            <w:tcW w:w="4312" w:type="dxa"/>
            <w:tcBorders>
              <w:top w:val="nil"/>
              <w:bottom w:val="nil"/>
            </w:tcBorders>
            <w:shd w:val="clear" w:color="auto" w:fill="A4A4A4"/>
          </w:tcPr>
          <w:p>
            <w:pPr>
              <w:pStyle w:val="TableParagraph"/>
              <w:spacing w:before="3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6"/>
                <w:sz w:val="22"/>
              </w:rPr>
              <w:t>Chapter</w:t>
            </w:r>
            <w:r>
              <w:rPr>
                <w:rFonts w:ascii="Arial Black"/>
                <w:color w:val="FFFFFF"/>
                <w:spacing w:val="-17"/>
                <w:sz w:val="22"/>
              </w:rPr>
              <w:t> </w:t>
            </w:r>
            <w:r>
              <w:rPr>
                <w:rFonts w:ascii="Arial Black"/>
                <w:color w:val="FFFFFF"/>
                <w:spacing w:val="-6"/>
                <w:sz w:val="22"/>
              </w:rPr>
              <w:t>/</w:t>
            </w:r>
            <w:r>
              <w:rPr>
                <w:rFonts w:ascii="Arial Black"/>
                <w:color w:val="FFFFFF"/>
                <w:spacing w:val="-16"/>
                <w:sz w:val="22"/>
              </w:rPr>
              <w:t> </w:t>
            </w:r>
            <w:r>
              <w:rPr>
                <w:rFonts w:ascii="Arial Black"/>
                <w:color w:val="FFFFFF"/>
                <w:spacing w:val="-6"/>
                <w:sz w:val="22"/>
              </w:rPr>
              <w:t>Standard</w:t>
            </w:r>
          </w:p>
        </w:tc>
        <w:tc>
          <w:tcPr>
            <w:tcW w:w="1340" w:type="dxa"/>
            <w:tcBorders>
              <w:top w:val="nil"/>
              <w:bottom w:val="nil"/>
            </w:tcBorders>
            <w:shd w:val="clear" w:color="auto" w:fill="A4A4A4"/>
          </w:tcPr>
          <w:p>
            <w:pPr>
              <w:pStyle w:val="TableParagraph"/>
              <w:spacing w:line="300" w:lineRule="exact" w:before="0"/>
              <w:ind w:left="218" w:right="134" w:hanging="68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2"/>
                <w:w w:val="90"/>
                <w:sz w:val="22"/>
              </w:rPr>
              <w:t>Objective </w:t>
            </w:r>
            <w:r>
              <w:rPr>
                <w:rFonts w:ascii="Arial Black"/>
                <w:color w:val="FFFFFF"/>
                <w:spacing w:val="-4"/>
                <w:sz w:val="22"/>
              </w:rPr>
              <w:t>Element</w:t>
            </w:r>
          </w:p>
        </w:tc>
        <w:tc>
          <w:tcPr>
            <w:tcW w:w="4696" w:type="dxa"/>
            <w:tcBorders>
              <w:top w:val="nil"/>
              <w:bottom w:val="nil"/>
            </w:tcBorders>
            <w:shd w:val="clear" w:color="auto" w:fill="A4A4A4"/>
          </w:tcPr>
          <w:p>
            <w:pPr>
              <w:pStyle w:val="TableParagraph"/>
              <w:spacing w:before="3"/>
              <w:ind w:left="12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2"/>
                <w:sz w:val="22"/>
              </w:rPr>
              <w:t>Requirement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top w:val="nil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ind w:right="26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AAC.2. The organization has a well-defined registration, admission </w:t>
            </w:r>
            <w:r>
              <w:rPr>
                <w:rFonts w:ascii="Arial Black"/>
                <w:w w:val="90"/>
                <w:sz w:val="22"/>
              </w:rPr>
              <w:t>and </w:t>
            </w:r>
            <w:r>
              <w:rPr>
                <w:rFonts w:ascii="Arial Black"/>
                <w:sz w:val="22"/>
              </w:rPr>
              <w:t>transfer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process.</w:t>
            </w:r>
          </w:p>
        </w:tc>
        <w:tc>
          <w:tcPr>
            <w:tcW w:w="1340" w:type="dxa"/>
            <w:tcBorders>
              <w:top w:val="nil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2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a)</w:t>
            </w:r>
          </w:p>
        </w:tc>
        <w:tc>
          <w:tcPr>
            <w:tcW w:w="4696" w:type="dxa"/>
            <w:tcBorders>
              <w:top w:val="nil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the process for </w:t>
            </w:r>
            <w:r>
              <w:rPr>
                <w:sz w:val="22"/>
              </w:rPr>
              <w:t>registering and admitting out-patients, </w:t>
            </w:r>
            <w:r>
              <w:rPr>
                <w:sz w:val="22"/>
              </w:rPr>
              <w:t>day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care,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in-patients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emergency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-2"/>
                <w:sz w:val="22"/>
              </w:rPr>
              <w:t>patients.*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ind w:right="26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AAC.2. The organization has a well-defined registration, admission </w:t>
            </w:r>
            <w:r>
              <w:rPr>
                <w:rFonts w:ascii="Arial Black"/>
                <w:w w:val="90"/>
                <w:sz w:val="22"/>
              </w:rPr>
              <w:t>and </w:t>
            </w:r>
            <w:r>
              <w:rPr>
                <w:rFonts w:ascii="Arial Black"/>
                <w:sz w:val="22"/>
              </w:rPr>
              <w:t>transfer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process.</w:t>
            </w:r>
          </w:p>
        </w:tc>
        <w:tc>
          <w:tcPr>
            <w:tcW w:w="1340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2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c)</w:t>
            </w:r>
          </w:p>
        </w:tc>
        <w:tc>
          <w:tcPr>
            <w:tcW w:w="469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437"/>
              <w:rPr>
                <w:sz w:val="22"/>
              </w:rPr>
            </w:pPr>
            <w:r>
              <w:rPr>
                <w:w w:val="110"/>
                <w:sz w:val="22"/>
              </w:rPr>
              <w:t>There is written guidance for an </w:t>
            </w:r>
            <w:r>
              <w:rPr>
                <w:sz w:val="22"/>
              </w:rPr>
              <w:t>appropriate mechanism for transfer </w:t>
            </w:r>
            <w:r>
              <w:rPr>
                <w:sz w:val="22"/>
              </w:rPr>
              <w:t>(in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and out) or referral of patients.*</w:t>
            </w:r>
          </w:p>
        </w:tc>
      </w:tr>
      <w:tr>
        <w:trPr>
          <w:trHeight w:val="1800" w:hRule="atLeast"/>
        </w:trPr>
        <w:tc>
          <w:tcPr>
            <w:tcW w:w="4312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ind w:right="49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8"/>
                <w:sz w:val="22"/>
              </w:rPr>
              <w:t>AAC.5.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Laboratory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 </w:t>
            </w:r>
            <w:r>
              <w:rPr>
                <w:rFonts w:ascii="Arial Black"/>
                <w:spacing w:val="-4"/>
                <w:sz w:val="22"/>
              </w:rPr>
              <w:t>provided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per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scope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of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 </w:t>
            </w:r>
            <w:r>
              <w:rPr>
                <w:rFonts w:ascii="Arial Black"/>
                <w:w w:val="90"/>
                <w:sz w:val="22"/>
              </w:rPr>
              <w:t>hospital's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services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laboratory </w:t>
            </w:r>
            <w:r>
              <w:rPr>
                <w:rFonts w:ascii="Arial Black"/>
                <w:sz w:val="22"/>
              </w:rPr>
              <w:t>safety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requirements.</w:t>
            </w:r>
          </w:p>
        </w:tc>
        <w:tc>
          <w:tcPr>
            <w:tcW w:w="1340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requisition of tests, collection of specimens, identification, handling, safe </w:t>
            </w:r>
            <w:r>
              <w:rPr>
                <w:spacing w:val="-2"/>
                <w:w w:val="110"/>
                <w:sz w:val="22"/>
              </w:rPr>
              <w:t>transportation,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processing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and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disposal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of specimens.*</w:t>
            </w:r>
          </w:p>
        </w:tc>
      </w:tr>
      <w:tr>
        <w:trPr>
          <w:trHeight w:val="1800" w:hRule="atLeast"/>
        </w:trPr>
        <w:tc>
          <w:tcPr>
            <w:tcW w:w="4312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ind w:right="49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8"/>
                <w:sz w:val="22"/>
              </w:rPr>
              <w:t>AAC.5.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Laboratory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 </w:t>
            </w:r>
            <w:r>
              <w:rPr>
                <w:rFonts w:ascii="Arial Black"/>
                <w:spacing w:val="-4"/>
                <w:sz w:val="22"/>
              </w:rPr>
              <w:t>provided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per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scope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of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 </w:t>
            </w:r>
            <w:r>
              <w:rPr>
                <w:rFonts w:ascii="Arial Black"/>
                <w:w w:val="90"/>
                <w:sz w:val="22"/>
              </w:rPr>
              <w:t>hospital's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services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laboratory </w:t>
            </w:r>
            <w:r>
              <w:rPr>
                <w:rFonts w:ascii="Arial Black"/>
                <w:sz w:val="22"/>
              </w:rPr>
              <w:t>safety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requirements.</w:t>
            </w:r>
          </w:p>
        </w:tc>
        <w:tc>
          <w:tcPr>
            <w:tcW w:w="1340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c)</w:t>
            </w:r>
          </w:p>
        </w:tc>
        <w:tc>
          <w:tcPr>
            <w:tcW w:w="469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Laboratory reports are available in a </w:t>
            </w:r>
            <w:r>
              <w:rPr>
                <w:spacing w:val="-2"/>
                <w:w w:val="110"/>
                <w:sz w:val="22"/>
              </w:rPr>
              <w:t>standardized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manner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within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defined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time </w:t>
            </w:r>
            <w:r>
              <w:rPr>
                <w:w w:val="110"/>
                <w:sz w:val="22"/>
              </w:rPr>
              <w:t>frame, with written guidance ensuring immediate intimation of critical results to concerned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personnel.*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ind w:right="49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8"/>
                <w:sz w:val="22"/>
              </w:rPr>
              <w:t>AAC.5.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Laboratory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 </w:t>
            </w:r>
            <w:r>
              <w:rPr>
                <w:rFonts w:ascii="Arial Black"/>
                <w:spacing w:val="-4"/>
                <w:sz w:val="22"/>
              </w:rPr>
              <w:t>provided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per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scope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of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 </w:t>
            </w:r>
            <w:r>
              <w:rPr>
                <w:rFonts w:ascii="Arial Black"/>
                <w:w w:val="90"/>
                <w:sz w:val="22"/>
              </w:rPr>
              <w:t>hospital's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services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laboratory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safety</w:t>
            </w:r>
            <w:r>
              <w:rPr>
                <w:rFonts w:ascii="Arial Black"/>
                <w:spacing w:val="-10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requirements.</w:t>
            </w:r>
          </w:p>
        </w:tc>
        <w:tc>
          <w:tcPr>
            <w:tcW w:w="1340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e)</w:t>
            </w:r>
          </w:p>
        </w:tc>
        <w:tc>
          <w:tcPr>
            <w:tcW w:w="469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There is written guidance for an </w:t>
            </w:r>
            <w:r>
              <w:rPr>
                <w:sz w:val="22"/>
              </w:rPr>
              <w:t>established laboratory quality </w:t>
            </w:r>
            <w:r>
              <w:rPr>
                <w:sz w:val="22"/>
              </w:rPr>
              <w:t>assurance</w:t>
            </w:r>
            <w:r>
              <w:rPr>
                <w:spacing w:val="8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programme.*</w:t>
            </w:r>
          </w:p>
        </w:tc>
      </w:tr>
      <w:tr>
        <w:trPr>
          <w:trHeight w:val="1800" w:hRule="atLeast"/>
        </w:trPr>
        <w:tc>
          <w:tcPr>
            <w:tcW w:w="4312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ind w:right="49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8"/>
                <w:sz w:val="22"/>
              </w:rPr>
              <w:t>AAC.5.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Laboratory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 </w:t>
            </w:r>
            <w:r>
              <w:rPr>
                <w:rFonts w:ascii="Arial Black"/>
                <w:spacing w:val="-4"/>
                <w:sz w:val="22"/>
              </w:rPr>
              <w:t>provided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per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scope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of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 </w:t>
            </w:r>
            <w:r>
              <w:rPr>
                <w:rFonts w:ascii="Arial Black"/>
                <w:w w:val="90"/>
                <w:sz w:val="22"/>
              </w:rPr>
              <w:t>hospital's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services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laboratory </w:t>
            </w:r>
            <w:r>
              <w:rPr>
                <w:rFonts w:ascii="Arial Black"/>
                <w:sz w:val="22"/>
              </w:rPr>
              <w:t>safety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requirements.</w:t>
            </w:r>
          </w:p>
        </w:tc>
        <w:tc>
          <w:tcPr>
            <w:tcW w:w="1340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f)</w:t>
            </w:r>
          </w:p>
        </w:tc>
        <w:tc>
          <w:tcPr>
            <w:tcW w:w="469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Laboratory tests not available in the organization are outsourced based on </w:t>
            </w:r>
            <w:r>
              <w:rPr>
                <w:sz w:val="22"/>
              </w:rPr>
              <w:t>written guidance aligned with the </w:t>
            </w:r>
            <w:r>
              <w:rPr>
                <w:sz w:val="22"/>
              </w:rPr>
              <w:t>quality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assurance system of the referral </w:t>
            </w:r>
            <w:r>
              <w:rPr>
                <w:spacing w:val="-2"/>
                <w:w w:val="110"/>
                <w:sz w:val="22"/>
              </w:rPr>
              <w:t>laboratory.*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AAC.6.</w:t>
            </w:r>
            <w:r>
              <w:rPr>
                <w:rFonts w:ascii="Arial Black"/>
                <w:spacing w:val="-7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Imaging</w:t>
            </w:r>
            <w:r>
              <w:rPr>
                <w:rFonts w:ascii="Arial Black"/>
                <w:spacing w:val="-7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services</w:t>
            </w:r>
            <w:r>
              <w:rPr>
                <w:rFonts w:ascii="Arial Black"/>
                <w:spacing w:val="-7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are</w:t>
            </w:r>
            <w:r>
              <w:rPr>
                <w:rFonts w:ascii="Arial Black"/>
                <w:spacing w:val="-7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provided </w:t>
            </w:r>
            <w:r>
              <w:rPr>
                <w:rFonts w:ascii="Arial Black"/>
                <w:spacing w:val="-6"/>
                <w:sz w:val="22"/>
              </w:rPr>
              <w:t>as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per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the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scope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of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the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hospital's services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established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radiation </w:t>
            </w:r>
            <w:r>
              <w:rPr>
                <w:rFonts w:ascii="Arial Black"/>
                <w:sz w:val="22"/>
              </w:rPr>
              <w:t>safety</w:t>
            </w:r>
            <w:r>
              <w:rPr>
                <w:rFonts w:ascii="Arial Black"/>
                <w:spacing w:val="-1"/>
                <w:sz w:val="22"/>
              </w:rPr>
              <w:t> </w:t>
            </w:r>
            <w:r>
              <w:rPr>
                <w:rFonts w:ascii="Arial Black"/>
                <w:sz w:val="22"/>
              </w:rPr>
              <w:t>programme.</w:t>
            </w:r>
          </w:p>
        </w:tc>
        <w:tc>
          <w:tcPr>
            <w:tcW w:w="1340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AAC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6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c)</w:t>
            </w:r>
          </w:p>
        </w:tc>
        <w:tc>
          <w:tcPr>
            <w:tcW w:w="4696" w:type="dxa"/>
            <w:tcBorders>
              <w:top w:val="single" w:sz="4" w:space="0" w:color="A4A4A4"/>
              <w:bottom w:val="single" w:sz="4" w:space="0" w:color="A4A4A4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Imaging reports are available in a </w:t>
            </w:r>
            <w:r>
              <w:rPr>
                <w:spacing w:val="-2"/>
                <w:w w:val="110"/>
                <w:sz w:val="22"/>
              </w:rPr>
              <w:t>standardized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manner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within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defined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time </w:t>
            </w:r>
            <w:r>
              <w:rPr>
                <w:w w:val="110"/>
                <w:sz w:val="22"/>
              </w:rPr>
              <w:t>frame, with written guidance ensuring immediate intimation of critical results to</w:t>
            </w:r>
          </w:p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w w:val="105"/>
                <w:sz w:val="22"/>
              </w:rPr>
              <w:t>concerned</w:t>
            </w:r>
            <w:r>
              <w:rPr>
                <w:spacing w:val="2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personnel.*</w:t>
            </w:r>
          </w:p>
        </w:tc>
      </w:tr>
    </w:tbl>
    <w:p>
      <w:pPr>
        <w:pStyle w:val="TableParagraph"/>
        <w:spacing w:after="0" w:line="265" w:lineRule="exact"/>
        <w:rPr>
          <w:sz w:val="22"/>
        </w:rPr>
        <w:sectPr>
          <w:headerReference w:type="default" r:id="rId5"/>
          <w:type w:val="continuous"/>
          <w:pgSz w:w="11910" w:h="16840"/>
          <w:pgMar w:header="300" w:footer="0" w:top="1340" w:bottom="280" w:left="850" w:right="566"/>
          <w:pgNumType w:start="1"/>
        </w:sectPr>
      </w:pP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29" w:type="dxa"/>
        <w:tblBorders>
          <w:top w:val="single" w:sz="4" w:space="0" w:color="A4A4A4"/>
          <w:left w:val="single" w:sz="4" w:space="0" w:color="A4A4A4"/>
          <w:bottom w:val="single" w:sz="4" w:space="0" w:color="A4A4A4"/>
          <w:right w:val="single" w:sz="4" w:space="0" w:color="A4A4A4"/>
          <w:insideH w:val="single" w:sz="4" w:space="0" w:color="A4A4A4"/>
          <w:insideV w:val="single" w:sz="4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2"/>
        <w:gridCol w:w="1340"/>
        <w:gridCol w:w="4696"/>
      </w:tblGrid>
      <w:tr>
        <w:trPr>
          <w:trHeight w:val="3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COP.2. Emergency services, </w:t>
            </w:r>
            <w:r>
              <w:rPr>
                <w:rFonts w:ascii="Arial Black"/>
                <w:spacing w:val="-2"/>
                <w:w w:val="90"/>
                <w:sz w:val="22"/>
              </w:rPr>
              <w:t>including </w:t>
            </w:r>
            <w:r>
              <w:rPr>
                <w:rFonts w:ascii="Arial Black"/>
                <w:spacing w:val="-2"/>
                <w:sz w:val="22"/>
              </w:rPr>
              <w:t>ambulance,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provided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in </w:t>
            </w:r>
            <w:r>
              <w:rPr>
                <w:rFonts w:ascii="Arial Black"/>
                <w:spacing w:val="-6"/>
                <w:sz w:val="22"/>
              </w:rPr>
              <w:t>accordance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with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written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guidance,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applicable</w:t>
            </w:r>
            <w:r>
              <w:rPr>
                <w:rFonts w:ascii="Arial Black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laws</w:t>
            </w:r>
            <w:r>
              <w:rPr>
                <w:rFonts w:ascii="Arial Black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7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regulations.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2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the management of medico-legal cases and </w:t>
            </w:r>
            <w:r>
              <w:rPr>
                <w:sz w:val="22"/>
              </w:rPr>
              <w:t>provision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emergency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accordance</w:t>
            </w:r>
          </w:p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z w:val="22"/>
              </w:rPr>
              <w:t>with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statutory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-2"/>
                <w:sz w:val="22"/>
              </w:rPr>
              <w:t>requirements.*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COP.2. Emergency services, </w:t>
            </w:r>
            <w:r>
              <w:rPr>
                <w:rFonts w:ascii="Arial Black"/>
                <w:spacing w:val="-2"/>
                <w:w w:val="90"/>
                <w:sz w:val="22"/>
              </w:rPr>
              <w:t>including </w:t>
            </w:r>
            <w:r>
              <w:rPr>
                <w:rFonts w:ascii="Arial Black"/>
                <w:spacing w:val="-2"/>
                <w:sz w:val="22"/>
              </w:rPr>
              <w:t>ambulance,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provided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in </w:t>
            </w:r>
            <w:r>
              <w:rPr>
                <w:rFonts w:ascii="Arial Black"/>
                <w:spacing w:val="-6"/>
                <w:sz w:val="22"/>
              </w:rPr>
              <w:t>accordance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with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written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guidance,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applicable</w:t>
            </w:r>
            <w:r>
              <w:rPr>
                <w:rFonts w:ascii="Arial Black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laws</w:t>
            </w:r>
            <w:r>
              <w:rPr>
                <w:rFonts w:ascii="Arial Black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7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regulations.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2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d)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sz w:val="22"/>
              </w:rPr>
              <w:t>Initiation of appropriate care is guided </w:t>
            </w:r>
            <w:r>
              <w:rPr>
                <w:sz w:val="22"/>
              </w:rPr>
              <w:t>by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written guidance through a system of </w:t>
            </w:r>
            <w:r>
              <w:rPr>
                <w:spacing w:val="-2"/>
                <w:w w:val="110"/>
                <w:sz w:val="22"/>
              </w:rPr>
              <w:t>triage.*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26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COP.3. The organization provides </w:t>
            </w:r>
            <w:r>
              <w:rPr>
                <w:rFonts w:ascii="Arial Black"/>
                <w:spacing w:val="-4"/>
                <w:sz w:val="22"/>
              </w:rPr>
              <w:t>care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intensive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care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high </w:t>
            </w:r>
            <w:r>
              <w:rPr>
                <w:rFonts w:ascii="Arial Black"/>
                <w:w w:val="90"/>
                <w:sz w:val="22"/>
              </w:rPr>
              <w:t>dependency</w:t>
            </w:r>
            <w:r>
              <w:rPr>
                <w:rFonts w:ascii="Arial Black"/>
                <w:spacing w:val="-4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units</w:t>
            </w:r>
            <w:r>
              <w:rPr>
                <w:rFonts w:ascii="Arial Black"/>
                <w:spacing w:val="-4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in</w:t>
            </w:r>
            <w:r>
              <w:rPr>
                <w:rFonts w:ascii="Arial Black"/>
                <w:spacing w:val="-4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</w:t>
            </w:r>
            <w:r>
              <w:rPr>
                <w:rFonts w:ascii="Arial Black"/>
                <w:spacing w:val="-4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systematic </w:t>
            </w:r>
            <w:r>
              <w:rPr>
                <w:rFonts w:ascii="Arial Black"/>
                <w:spacing w:val="-2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3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the </w:t>
            </w:r>
            <w:r>
              <w:rPr>
                <w:sz w:val="22"/>
              </w:rPr>
              <w:t>implementation of a quality </w:t>
            </w:r>
            <w:r>
              <w:rPr>
                <w:sz w:val="22"/>
              </w:rPr>
              <w:t>assurance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programme for intensive care/high dependency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units.*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COP.8. Clinical procedures, as well </w:t>
            </w:r>
            <w:r>
              <w:rPr>
                <w:rFonts w:ascii="Arial Black"/>
                <w:w w:val="85"/>
                <w:sz w:val="22"/>
              </w:rPr>
              <w:t>as </w:t>
            </w:r>
            <w:r>
              <w:rPr>
                <w:rFonts w:ascii="Arial Black"/>
                <w:w w:val="90"/>
                <w:sz w:val="22"/>
              </w:rPr>
              <w:t>procedures in the operation theatre, </w:t>
            </w:r>
            <w:r>
              <w:rPr>
                <w:rFonts w:ascii="Arial Black"/>
                <w:sz w:val="22"/>
              </w:rPr>
              <w:t>are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performed</w:t>
            </w:r>
            <w:r>
              <w:rPr>
                <w:rFonts w:ascii="Arial Black"/>
                <w:spacing w:val="-18"/>
                <w:sz w:val="22"/>
              </w:rPr>
              <w:t> </w:t>
            </w:r>
            <w:r>
              <w:rPr>
                <w:rFonts w:ascii="Arial Black"/>
                <w:sz w:val="22"/>
              </w:rPr>
              <w:t>in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a</w:t>
            </w:r>
            <w:r>
              <w:rPr>
                <w:rFonts w:ascii="Arial Black"/>
                <w:spacing w:val="-18"/>
                <w:sz w:val="22"/>
              </w:rPr>
              <w:t> </w:t>
            </w:r>
            <w:r>
              <w:rPr>
                <w:rFonts w:ascii="Arial Black"/>
                <w:sz w:val="22"/>
              </w:rPr>
              <w:t>safe</w:t>
            </w:r>
            <w:r>
              <w:rPr>
                <w:rFonts w:ascii="Arial Black"/>
                <w:spacing w:val="-18"/>
                <w:sz w:val="22"/>
              </w:rPr>
              <w:t> </w:t>
            </w:r>
            <w:r>
              <w:rPr>
                <w:rFonts w:ascii="Arial Black"/>
                <w:sz w:val="22"/>
              </w:rPr>
              <w:t>and consistent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8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d)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ensures prevention of adverse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events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such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as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wrong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site,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wrong </w:t>
            </w:r>
            <w:r>
              <w:rPr>
                <w:sz w:val="22"/>
              </w:rPr>
              <w:t>patient and wrong procedure/surgery, </w:t>
            </w:r>
            <w:r>
              <w:rPr>
                <w:sz w:val="22"/>
              </w:rPr>
              <w:t>and</w:t>
            </w:r>
            <w:r>
              <w:rPr>
                <w:spacing w:val="8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mandates documentation of the same.*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474"/>
              <w:jc w:val="both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COP.9.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The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organization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identifies and manages patients who are at </w:t>
            </w:r>
            <w:r>
              <w:rPr>
                <w:rFonts w:ascii="Arial Black"/>
                <w:sz w:val="22"/>
              </w:rPr>
              <w:t>higher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risk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of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morbidity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and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mortality.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9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a)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identification </w:t>
            </w:r>
            <w:r>
              <w:rPr>
                <w:sz w:val="22"/>
              </w:rPr>
              <w:t>and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management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vulnerable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patients.*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26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COP.9.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The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organization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identifies and manages patients who are at </w:t>
            </w:r>
            <w:r>
              <w:rPr>
                <w:rFonts w:ascii="Arial Black"/>
                <w:sz w:val="22"/>
              </w:rPr>
              <w:t>higher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risk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of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morbidity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z w:val="22"/>
              </w:rPr>
              <w:t>and </w:t>
            </w:r>
            <w:r>
              <w:rPr>
                <w:rFonts w:ascii="Arial Black"/>
                <w:spacing w:val="-2"/>
                <w:sz w:val="22"/>
              </w:rPr>
              <w:t>mortality.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9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identification and management of patients at risk of </w:t>
            </w:r>
            <w:r>
              <w:rPr>
                <w:spacing w:val="-2"/>
                <w:w w:val="110"/>
                <w:sz w:val="22"/>
              </w:rPr>
              <w:t>developing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or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worsening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pressure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ulcers </w:t>
            </w:r>
            <w:r>
              <w:rPr>
                <w:w w:val="110"/>
                <w:sz w:val="22"/>
              </w:rPr>
              <w:t>and deep vein thrombosis.*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COP.10.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Pain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management, rehabilitation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and </w:t>
            </w:r>
            <w:r>
              <w:rPr>
                <w:rFonts w:ascii="Arial Black"/>
                <w:spacing w:val="-8"/>
                <w:sz w:val="22"/>
              </w:rPr>
              <w:t>nutritional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therapy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provided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in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 </w:t>
            </w:r>
            <w:r>
              <w:rPr>
                <w:rFonts w:ascii="Arial Black"/>
                <w:spacing w:val="-6"/>
                <w:sz w:val="22"/>
              </w:rPr>
              <w:t>safe,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collaborative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consistent</w:t>
            </w:r>
          </w:p>
          <w:p>
            <w:pPr>
              <w:pStyle w:val="TableParagraph"/>
              <w:spacing w:line="276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10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a)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sz w:val="22"/>
              </w:rPr>
              <w:t>Written guidance ensures </w:t>
            </w:r>
            <w:r>
              <w:rPr>
                <w:sz w:val="22"/>
              </w:rPr>
              <w:t>effective </w:t>
            </w:r>
            <w:r>
              <w:rPr>
                <w:w w:val="110"/>
                <w:sz w:val="22"/>
              </w:rPr>
              <w:t>management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of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patients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in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pain.*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COP.10.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Pain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management, rehabilitation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and </w:t>
            </w:r>
            <w:r>
              <w:rPr>
                <w:rFonts w:ascii="Arial Black"/>
                <w:spacing w:val="-8"/>
                <w:sz w:val="22"/>
              </w:rPr>
              <w:t>nutritional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therapy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provided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in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 </w:t>
            </w:r>
            <w:r>
              <w:rPr>
                <w:rFonts w:ascii="Arial Black"/>
                <w:spacing w:val="-6"/>
                <w:sz w:val="22"/>
              </w:rPr>
              <w:t>safe,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collaborative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consistent</w:t>
            </w:r>
          </w:p>
          <w:p>
            <w:pPr>
              <w:pStyle w:val="TableParagraph"/>
              <w:spacing w:line="276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10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sz w:val="22"/>
              </w:rPr>
              <w:t>Written guidance ensures that the scope </w:t>
            </w:r>
            <w:r>
              <w:rPr>
                <w:sz w:val="22"/>
              </w:rPr>
              <w:t>of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rehabilitation services is commensurate with the services provided by the </w:t>
            </w:r>
            <w:r>
              <w:rPr>
                <w:spacing w:val="-2"/>
                <w:w w:val="110"/>
                <w:sz w:val="22"/>
              </w:rPr>
              <w:t>organization.*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COP.10.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Pain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management, rehabilitation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services</w:t>
            </w:r>
            <w:r>
              <w:rPr>
                <w:rFonts w:ascii="Arial Black"/>
                <w:spacing w:val="-11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and </w:t>
            </w:r>
            <w:r>
              <w:rPr>
                <w:rFonts w:ascii="Arial Black"/>
                <w:spacing w:val="-8"/>
                <w:sz w:val="22"/>
              </w:rPr>
              <w:t>nutritional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therapy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are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provided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in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 </w:t>
            </w:r>
            <w:r>
              <w:rPr>
                <w:rFonts w:ascii="Arial Black"/>
                <w:spacing w:val="-6"/>
                <w:sz w:val="22"/>
              </w:rPr>
              <w:t>safe,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collaborative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consistent</w:t>
            </w:r>
          </w:p>
          <w:p>
            <w:pPr>
              <w:pStyle w:val="TableParagraph"/>
              <w:spacing w:line="276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10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c)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sz w:val="22"/>
              </w:rPr>
              <w:t>Written guidance governs screening </w:t>
            </w:r>
            <w:r>
              <w:rPr>
                <w:sz w:val="22"/>
              </w:rPr>
              <w:t>of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admitted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patients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for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nutritional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risk.*</w:t>
            </w:r>
          </w:p>
        </w:tc>
      </w:tr>
      <w:tr>
        <w:trPr>
          <w:trHeight w:val="9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1219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COP.10.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Pain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management, rehabilitation</w:t>
            </w:r>
            <w:r>
              <w:rPr>
                <w:rFonts w:ascii="Arial Black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services</w:t>
            </w:r>
            <w:r>
              <w:rPr>
                <w:rFonts w:ascii="Arial Black"/>
                <w:sz w:val="22"/>
              </w:rPr>
              <w:t> </w:t>
            </w:r>
            <w:r>
              <w:rPr>
                <w:rFonts w:ascii="Arial Black"/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78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nutritional</w:t>
            </w:r>
            <w:r>
              <w:rPr>
                <w:rFonts w:ascii="Arial Black"/>
                <w:spacing w:val="13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therapy</w:t>
            </w:r>
            <w:r>
              <w:rPr>
                <w:rFonts w:ascii="Arial Black"/>
                <w:spacing w:val="13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are</w:t>
            </w:r>
            <w:r>
              <w:rPr>
                <w:rFonts w:ascii="Arial Black"/>
                <w:spacing w:val="13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provided</w:t>
            </w:r>
            <w:r>
              <w:rPr>
                <w:rFonts w:ascii="Arial Black"/>
                <w:spacing w:val="13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in</w:t>
            </w:r>
            <w:r>
              <w:rPr>
                <w:rFonts w:ascii="Arial Black"/>
                <w:spacing w:val="14"/>
                <w:sz w:val="22"/>
              </w:rPr>
              <w:t> </w:t>
            </w:r>
            <w:r>
              <w:rPr>
                <w:rFonts w:ascii="Arial Black"/>
                <w:spacing w:val="-10"/>
                <w:w w:val="90"/>
                <w:sz w:val="22"/>
              </w:rPr>
              <w:t>a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COP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10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d)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ensures nutritional </w:t>
            </w:r>
            <w:r>
              <w:rPr>
                <w:sz w:val="22"/>
              </w:rPr>
              <w:t>assessment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dietician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patients</w:t>
            </w:r>
          </w:p>
          <w:p>
            <w:pPr>
              <w:pStyle w:val="TableParagraph"/>
              <w:spacing w:line="265" w:lineRule="exact" w:before="0"/>
              <w:rPr>
                <w:sz w:val="22"/>
              </w:rPr>
            </w:pPr>
            <w:r>
              <w:rPr>
                <w:sz w:val="22"/>
              </w:rPr>
              <w:t>identified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risk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-2"/>
                <w:sz w:val="22"/>
              </w:rPr>
              <w:t>screening.*</w:t>
            </w:r>
          </w:p>
        </w:tc>
      </w:tr>
    </w:tbl>
    <w:p>
      <w:pPr>
        <w:pStyle w:val="TableParagraph"/>
        <w:spacing w:after="0" w:line="265" w:lineRule="exact"/>
        <w:rPr>
          <w:sz w:val="22"/>
        </w:rPr>
        <w:sectPr>
          <w:pgSz w:w="11910" w:h="16840"/>
          <w:pgMar w:header="300" w:footer="0" w:top="1340" w:bottom="280" w:left="850" w:right="566"/>
        </w:sectPr>
      </w:pP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29" w:type="dxa"/>
        <w:tblBorders>
          <w:top w:val="single" w:sz="4" w:space="0" w:color="A4A4A4"/>
          <w:left w:val="single" w:sz="4" w:space="0" w:color="A4A4A4"/>
          <w:bottom w:val="single" w:sz="4" w:space="0" w:color="A4A4A4"/>
          <w:right w:val="single" w:sz="4" w:space="0" w:color="A4A4A4"/>
          <w:insideH w:val="single" w:sz="4" w:space="0" w:color="A4A4A4"/>
          <w:insideV w:val="single" w:sz="4" w:space="0" w:color="A4A4A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2"/>
        <w:gridCol w:w="1340"/>
        <w:gridCol w:w="4696"/>
      </w:tblGrid>
      <w:tr>
        <w:trPr>
          <w:trHeight w:val="6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98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safe,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collaborative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consistent</w:t>
            </w:r>
          </w:p>
          <w:p>
            <w:pPr>
              <w:pStyle w:val="TableParagraph"/>
              <w:spacing w:line="282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9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MOM.4. There is written guidance </w:t>
            </w:r>
            <w:r>
              <w:rPr>
                <w:rFonts w:ascii="Arial Black"/>
                <w:w w:val="90"/>
                <w:sz w:val="22"/>
              </w:rPr>
              <w:t>for </w:t>
            </w:r>
            <w:r>
              <w:rPr>
                <w:rFonts w:ascii="Arial Black"/>
                <w:spacing w:val="-6"/>
                <w:sz w:val="22"/>
              </w:rPr>
              <w:t>the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safe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dispensing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of</w:t>
            </w:r>
            <w:r>
              <w:rPr>
                <w:rFonts w:ascii="Arial Black"/>
                <w:spacing w:val="-14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medications.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MOM</w:t>
            </w:r>
            <w:r>
              <w:rPr>
                <w:spacing w:val="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4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sz w:val="22"/>
              </w:rPr>
              <w:t>Written guidance ensures that </w:t>
            </w:r>
            <w:r>
              <w:rPr>
                <w:sz w:val="22"/>
              </w:rPr>
              <w:t>dispensed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medications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are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appropriately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labelled.*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26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MOM.5. Medications </w:t>
            </w:r>
            <w:r>
              <w:rPr>
                <w:rFonts w:ascii="Arial Black"/>
                <w:w w:val="90"/>
                <w:sz w:val="22"/>
              </w:rPr>
              <w:t>are </w:t>
            </w:r>
            <w:r>
              <w:rPr>
                <w:rFonts w:ascii="Arial Black"/>
                <w:sz w:val="22"/>
              </w:rPr>
              <w:t>administered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safely.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MOM</w:t>
            </w:r>
            <w:r>
              <w:rPr>
                <w:spacing w:val="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d)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Written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guidance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ensures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implementation </w:t>
            </w:r>
            <w:r>
              <w:rPr>
                <w:w w:val="110"/>
                <w:sz w:val="22"/>
              </w:rPr>
              <w:t>of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measures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to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avoid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catheter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and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tubing misconnections during medication </w:t>
            </w:r>
            <w:r>
              <w:rPr>
                <w:spacing w:val="-2"/>
                <w:w w:val="110"/>
                <w:sz w:val="22"/>
              </w:rPr>
              <w:t>administration.*</w:t>
            </w:r>
          </w:p>
        </w:tc>
      </w:tr>
      <w:tr>
        <w:trPr>
          <w:trHeight w:val="9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26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MOM.5. Medications </w:t>
            </w:r>
            <w:r>
              <w:rPr>
                <w:rFonts w:ascii="Arial Black"/>
                <w:w w:val="90"/>
                <w:sz w:val="22"/>
              </w:rPr>
              <w:t>are </w:t>
            </w:r>
            <w:r>
              <w:rPr>
                <w:rFonts w:ascii="Arial Black"/>
                <w:sz w:val="22"/>
              </w:rPr>
              <w:t>administered</w:t>
            </w:r>
            <w:r>
              <w:rPr>
                <w:rFonts w:ascii="Arial Black"/>
                <w:spacing w:val="-19"/>
                <w:sz w:val="22"/>
              </w:rPr>
              <w:t> </w:t>
            </w:r>
            <w:r>
              <w:rPr>
                <w:rFonts w:ascii="Arial Black"/>
                <w:sz w:val="22"/>
              </w:rPr>
              <w:t>safely.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MOM</w:t>
            </w:r>
            <w:r>
              <w:rPr>
                <w:spacing w:val="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5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f)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ensures monitoring of </w:t>
            </w:r>
            <w:r>
              <w:rPr>
                <w:sz w:val="22"/>
              </w:rPr>
              <w:t>patients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medication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administration.*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17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MOM.6.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Narcotic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drugs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and </w:t>
            </w:r>
            <w:r>
              <w:rPr>
                <w:rFonts w:ascii="Arial Black"/>
                <w:spacing w:val="-6"/>
                <w:sz w:val="22"/>
              </w:rPr>
              <w:t>psychotropic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substances, </w:t>
            </w:r>
            <w:r>
              <w:rPr>
                <w:rFonts w:ascii="Arial Black"/>
                <w:w w:val="90"/>
                <w:sz w:val="22"/>
              </w:rPr>
              <w:t>chemotherapeutic agents and </w:t>
            </w:r>
            <w:r>
              <w:rPr>
                <w:rFonts w:ascii="Arial Black"/>
                <w:w w:val="90"/>
                <w:sz w:val="22"/>
              </w:rPr>
              <w:t>radio-</w:t>
            </w:r>
            <w:r>
              <w:rPr>
                <w:rFonts w:ascii="Arial Black"/>
                <w:spacing w:val="-6"/>
                <w:sz w:val="22"/>
              </w:rPr>
              <w:t>pharmaceuticals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used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a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safe</w:t>
            </w:r>
          </w:p>
          <w:p>
            <w:pPr>
              <w:pStyle w:val="TableParagraph"/>
              <w:spacing w:line="276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manner.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MOM</w:t>
            </w:r>
            <w:r>
              <w:rPr>
                <w:spacing w:val="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6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a)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safe use of narcotic</w:t>
            </w:r>
            <w:r>
              <w:rPr>
                <w:spacing w:val="-1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drugs,</w:t>
            </w:r>
            <w:r>
              <w:rPr>
                <w:spacing w:val="-1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psychotropic</w:t>
            </w:r>
            <w:r>
              <w:rPr>
                <w:spacing w:val="-19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substances, </w:t>
            </w:r>
            <w:r>
              <w:rPr>
                <w:sz w:val="22"/>
              </w:rPr>
              <w:t>chemotherapeutic agents and </w:t>
            </w:r>
            <w:r>
              <w:rPr>
                <w:sz w:val="22"/>
              </w:rPr>
              <w:t>radioactive</w:t>
            </w:r>
            <w:r>
              <w:rPr>
                <w:spacing w:val="8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agents.*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PRE.2. The patient and/or family </w:t>
            </w:r>
            <w:r>
              <w:rPr>
                <w:rFonts w:ascii="Arial Black"/>
                <w:w w:val="90"/>
                <w:sz w:val="22"/>
              </w:rPr>
              <w:t>are </w:t>
            </w:r>
            <w:r>
              <w:rPr>
                <w:rFonts w:ascii="Arial Black"/>
                <w:spacing w:val="-2"/>
                <w:sz w:val="22"/>
              </w:rPr>
              <w:t>educated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to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make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informed </w:t>
            </w:r>
            <w:r>
              <w:rPr>
                <w:rFonts w:ascii="Arial Black"/>
                <w:spacing w:val="-4"/>
                <w:sz w:val="22"/>
              </w:rPr>
              <w:t>decisions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involved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care</w:t>
            </w:r>
            <w:r>
              <w:rPr>
                <w:rFonts w:ascii="Arial Black"/>
                <w:spacing w:val="2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planning</w:t>
            </w:r>
            <w:r>
              <w:rPr>
                <w:rFonts w:ascii="Arial Black"/>
                <w:spacing w:val="2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2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delivery</w:t>
            </w:r>
            <w:r>
              <w:rPr>
                <w:rFonts w:ascii="Arial Black"/>
                <w:spacing w:val="3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process.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e)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437"/>
              <w:rPr>
                <w:sz w:val="22"/>
              </w:rPr>
            </w:pPr>
            <w:r>
              <w:rPr>
                <w:w w:val="110"/>
                <w:sz w:val="22"/>
              </w:rPr>
              <w:t>Written guidance ensures effective </w:t>
            </w:r>
            <w:r>
              <w:rPr>
                <w:sz w:val="22"/>
              </w:rPr>
              <w:t>communication with patients </w:t>
            </w:r>
            <w:r>
              <w:rPr>
                <w:sz w:val="22"/>
              </w:rPr>
              <w:t>and/or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family.*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PRE.2. The patient and/or family </w:t>
            </w:r>
            <w:r>
              <w:rPr>
                <w:rFonts w:ascii="Arial Black"/>
                <w:w w:val="90"/>
                <w:sz w:val="22"/>
              </w:rPr>
              <w:t>are </w:t>
            </w:r>
            <w:r>
              <w:rPr>
                <w:rFonts w:ascii="Arial Black"/>
                <w:spacing w:val="-2"/>
                <w:sz w:val="22"/>
              </w:rPr>
              <w:t>educated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to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make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informed </w:t>
            </w:r>
            <w:r>
              <w:rPr>
                <w:rFonts w:ascii="Arial Black"/>
                <w:spacing w:val="-4"/>
                <w:sz w:val="22"/>
              </w:rPr>
              <w:t>decisions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are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involved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in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care</w:t>
            </w:r>
            <w:r>
              <w:rPr>
                <w:rFonts w:ascii="Arial Black"/>
                <w:spacing w:val="2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planning</w:t>
            </w:r>
            <w:r>
              <w:rPr>
                <w:rFonts w:ascii="Arial Black"/>
                <w:spacing w:val="2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and</w:t>
            </w:r>
            <w:r>
              <w:rPr>
                <w:rFonts w:ascii="Arial Black"/>
                <w:spacing w:val="2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delivery</w:t>
            </w:r>
            <w:r>
              <w:rPr>
                <w:rFonts w:ascii="Arial Black"/>
                <w:spacing w:val="3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process.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f)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437"/>
              <w:rPr>
                <w:sz w:val="22"/>
              </w:rPr>
            </w:pPr>
            <w:r>
              <w:rPr>
                <w:sz w:val="22"/>
              </w:rPr>
              <w:t>Written guidance governs capturing </w:t>
            </w:r>
            <w:r>
              <w:rPr>
                <w:sz w:val="22"/>
              </w:rPr>
              <w:t>of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patient feedback and redressal of </w:t>
            </w:r>
            <w:r>
              <w:rPr>
                <w:spacing w:val="-2"/>
                <w:w w:val="110"/>
                <w:sz w:val="22"/>
              </w:rPr>
              <w:t>complaints.*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IPC.1.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The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hospital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has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an </w:t>
            </w:r>
            <w:r>
              <w:rPr>
                <w:rFonts w:ascii="Arial Black"/>
                <w:w w:val="90"/>
                <w:sz w:val="22"/>
              </w:rPr>
              <w:t>established infection prevention </w:t>
            </w:r>
            <w:r>
              <w:rPr>
                <w:rFonts w:ascii="Arial Black"/>
                <w:w w:val="90"/>
                <w:sz w:val="22"/>
              </w:rPr>
              <w:t>and </w:t>
            </w:r>
            <w:r>
              <w:rPr>
                <w:rFonts w:ascii="Arial Black"/>
                <w:spacing w:val="-2"/>
                <w:sz w:val="22"/>
              </w:rPr>
              <w:t>control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programme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with</w:t>
            </w:r>
            <w:r>
              <w:rPr>
                <w:rFonts w:ascii="Arial Black"/>
                <w:spacing w:val="-17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adequate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resources.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IPC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437"/>
              <w:rPr>
                <w:sz w:val="22"/>
              </w:rPr>
            </w:pPr>
            <w:r>
              <w:rPr>
                <w:sz w:val="22"/>
              </w:rPr>
              <w:t>Written guidance ensures adherence </w:t>
            </w:r>
            <w:r>
              <w:rPr>
                <w:sz w:val="22"/>
              </w:rPr>
              <w:t>to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safe injection and infusion practices.*</w:t>
            </w:r>
          </w:p>
        </w:tc>
      </w:tr>
      <w:tr>
        <w:trPr>
          <w:trHeight w:val="12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6"/>
                <w:sz w:val="22"/>
              </w:rPr>
              <w:t>ROM.4.</w:t>
            </w:r>
            <w:r>
              <w:rPr>
                <w:rFonts w:ascii="Arial Black"/>
                <w:spacing w:val="-13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Governance</w:t>
            </w:r>
            <w:r>
              <w:rPr>
                <w:rFonts w:ascii="Arial Black"/>
                <w:spacing w:val="-13"/>
                <w:sz w:val="22"/>
              </w:rPr>
              <w:t> </w:t>
            </w:r>
            <w:r>
              <w:rPr>
                <w:rFonts w:ascii="Arial Black"/>
                <w:spacing w:val="-6"/>
                <w:sz w:val="22"/>
              </w:rPr>
              <w:t>ensures </w:t>
            </w:r>
            <w:r>
              <w:rPr>
                <w:rFonts w:ascii="Arial Black"/>
                <w:spacing w:val="-4"/>
                <w:sz w:val="22"/>
              </w:rPr>
              <w:t>sustainability</w:t>
            </w:r>
            <w:r>
              <w:rPr>
                <w:rFonts w:ascii="Arial Black"/>
                <w:spacing w:val="-12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by</w:t>
            </w:r>
            <w:r>
              <w:rPr>
                <w:rFonts w:ascii="Arial Black"/>
                <w:spacing w:val="-12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addressing </w:t>
            </w:r>
            <w:r>
              <w:rPr>
                <w:rFonts w:ascii="Arial Black"/>
                <w:w w:val="90"/>
                <w:sz w:val="22"/>
              </w:rPr>
              <w:t>environmental, social and </w:t>
            </w:r>
            <w:r>
              <w:rPr>
                <w:rFonts w:ascii="Arial Black"/>
                <w:w w:val="90"/>
                <w:sz w:val="22"/>
              </w:rPr>
              <w:t>economic</w:t>
            </w:r>
          </w:p>
          <w:p>
            <w:pPr>
              <w:pStyle w:val="TableParagraph"/>
              <w:spacing w:line="277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factors.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ROM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4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b)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437"/>
              <w:rPr>
                <w:sz w:val="22"/>
              </w:rPr>
            </w:pPr>
            <w:r>
              <w:rPr>
                <w:sz w:val="22"/>
              </w:rPr>
              <w:t>Written guidance governs </w:t>
            </w:r>
            <w:r>
              <w:rPr>
                <w:sz w:val="22"/>
              </w:rPr>
              <w:t>initiatives</w:t>
            </w:r>
            <w:r>
              <w:rPr>
                <w:w w:val="110"/>
                <w:sz w:val="22"/>
              </w:rPr>
              <w:t> towards an energy-efficient and environmentally friendly hospital.*</w:t>
            </w:r>
          </w:p>
        </w:tc>
      </w:tr>
      <w:tr>
        <w:trPr>
          <w:trHeight w:val="15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ind w:right="98"/>
              <w:jc w:val="both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FMS.4.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The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organization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has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plans</w:t>
            </w:r>
            <w:r>
              <w:rPr>
                <w:rFonts w:ascii="Arial Black"/>
                <w:spacing w:val="-3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for </w:t>
            </w:r>
            <w:r>
              <w:rPr>
                <w:rFonts w:ascii="Arial Black"/>
                <w:spacing w:val="-8"/>
                <w:sz w:val="22"/>
              </w:rPr>
              <w:t>fire</w:t>
            </w:r>
            <w:r>
              <w:rPr>
                <w:rFonts w:ascii="Arial Black"/>
                <w:spacing w:val="-10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and</w:t>
            </w:r>
            <w:r>
              <w:rPr>
                <w:rFonts w:ascii="Arial Black"/>
                <w:spacing w:val="-10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non-fire</w:t>
            </w:r>
            <w:r>
              <w:rPr>
                <w:rFonts w:ascii="Arial Black"/>
                <w:spacing w:val="-10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emergencies</w:t>
            </w:r>
            <w:r>
              <w:rPr>
                <w:rFonts w:ascii="Arial Black"/>
                <w:spacing w:val="-10"/>
                <w:sz w:val="22"/>
              </w:rPr>
              <w:t> </w:t>
            </w:r>
            <w:r>
              <w:rPr>
                <w:rFonts w:ascii="Arial Black"/>
                <w:spacing w:val="-8"/>
                <w:sz w:val="22"/>
              </w:rPr>
              <w:t>within </w:t>
            </w:r>
            <w:r>
              <w:rPr>
                <w:rFonts w:ascii="Arial Black"/>
                <w:sz w:val="22"/>
              </w:rPr>
              <w:t>the</w:t>
            </w:r>
            <w:r>
              <w:rPr>
                <w:rFonts w:ascii="Arial Black"/>
                <w:spacing w:val="-6"/>
                <w:sz w:val="22"/>
              </w:rPr>
              <w:t> </w:t>
            </w:r>
            <w:r>
              <w:rPr>
                <w:rFonts w:ascii="Arial Black"/>
                <w:sz w:val="22"/>
              </w:rPr>
              <w:t>facilities.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FMS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4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a)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437"/>
              <w:rPr>
                <w:sz w:val="22"/>
              </w:rPr>
            </w:pPr>
            <w:r>
              <w:rPr>
                <w:sz w:val="22"/>
              </w:rPr>
              <w:t>Written guidance governs </w:t>
            </w:r>
            <w:r>
              <w:rPr>
                <w:sz w:val="22"/>
              </w:rPr>
              <w:t>identification,</w:t>
            </w:r>
            <w:r>
              <w:rPr>
                <w:spacing w:val="40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early detection, abatement and containment of fire and non-fire </w:t>
            </w:r>
            <w:r>
              <w:rPr>
                <w:spacing w:val="-2"/>
                <w:w w:val="110"/>
                <w:sz w:val="22"/>
              </w:rPr>
              <w:t>emergencies.*</w:t>
            </w:r>
          </w:p>
        </w:tc>
      </w:tr>
      <w:tr>
        <w:trPr>
          <w:trHeight w:val="18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32" w:lineRule="auto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IMS.1. Information needs </w:t>
            </w:r>
            <w:r>
              <w:rPr>
                <w:rFonts w:ascii="Arial Black"/>
                <w:w w:val="90"/>
                <w:sz w:val="22"/>
              </w:rPr>
              <w:t>of </w:t>
            </w:r>
            <w:r>
              <w:rPr>
                <w:rFonts w:ascii="Arial Black"/>
                <w:spacing w:val="-2"/>
                <w:sz w:val="22"/>
              </w:rPr>
              <w:t>stakeholders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are</w:t>
            </w:r>
            <w:r>
              <w:rPr>
                <w:rFonts w:ascii="Arial Black"/>
                <w:spacing w:val="-16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met.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IMS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1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a)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71" w:lineRule="auto"/>
              <w:ind w:right="92"/>
              <w:rPr>
                <w:sz w:val="22"/>
              </w:rPr>
            </w:pPr>
            <w:r>
              <w:rPr>
                <w:w w:val="110"/>
                <w:sz w:val="22"/>
              </w:rPr>
              <w:t>Written guidance governs identification, </w:t>
            </w:r>
            <w:r>
              <w:rPr>
                <w:spacing w:val="-2"/>
                <w:w w:val="110"/>
                <w:sz w:val="22"/>
              </w:rPr>
              <w:t>capture</w:t>
            </w:r>
            <w:r>
              <w:rPr>
                <w:spacing w:val="-1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and</w:t>
            </w:r>
            <w:r>
              <w:rPr>
                <w:spacing w:val="-1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dissemination</w:t>
            </w:r>
            <w:r>
              <w:rPr>
                <w:spacing w:val="-1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of</w:t>
            </w:r>
            <w:r>
              <w:rPr>
                <w:spacing w:val="-11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information </w:t>
            </w:r>
            <w:r>
              <w:rPr>
                <w:w w:val="110"/>
                <w:sz w:val="22"/>
              </w:rPr>
              <w:t>needs of patients, visitors, staff, management, external agencies and </w:t>
            </w:r>
            <w:r>
              <w:rPr>
                <w:spacing w:val="-2"/>
                <w:w w:val="110"/>
                <w:sz w:val="22"/>
              </w:rPr>
              <w:t>community.*</w:t>
            </w:r>
          </w:p>
        </w:tc>
      </w:tr>
      <w:tr>
        <w:trPr>
          <w:trHeight w:val="300" w:hRule="atLeast"/>
        </w:trPr>
        <w:tc>
          <w:tcPr>
            <w:tcW w:w="4312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80" w:lineRule="exact" w:before="0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IMS.3.</w:t>
            </w:r>
            <w:r>
              <w:rPr>
                <w:rFonts w:ascii="Arial Black"/>
                <w:spacing w:val="-7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The</w:t>
            </w:r>
            <w:r>
              <w:rPr>
                <w:rFonts w:ascii="Arial Black"/>
                <w:spacing w:val="-7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organization</w:t>
            </w:r>
            <w:r>
              <w:rPr>
                <w:rFonts w:ascii="Arial Black"/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maintains</w:t>
            </w:r>
          </w:p>
        </w:tc>
        <w:tc>
          <w:tcPr>
            <w:tcW w:w="1340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65" w:lineRule="exact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IMS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3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d)</w:t>
            </w:r>
          </w:p>
        </w:tc>
        <w:tc>
          <w:tcPr>
            <w:tcW w:w="4696" w:type="dxa"/>
            <w:tcBorders>
              <w:left w:val="single" w:sz="4" w:space="0" w:color="FFFFFF"/>
              <w:right w:val="single" w:sz="4" w:space="0" w:color="FFFFFF"/>
            </w:tcBorders>
          </w:tcPr>
          <w:p>
            <w:pPr>
              <w:pStyle w:val="TableParagraph"/>
              <w:spacing w:line="265" w:lineRule="exact"/>
              <w:rPr>
                <w:sz w:val="22"/>
              </w:rPr>
            </w:pPr>
            <w:r>
              <w:rPr>
                <w:sz w:val="22"/>
              </w:rPr>
              <w:t>Written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guidance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available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-2"/>
                <w:sz w:val="22"/>
              </w:rPr>
              <w:t>retention</w:t>
            </w:r>
          </w:p>
        </w:tc>
      </w:tr>
    </w:tbl>
    <w:p>
      <w:pPr>
        <w:pStyle w:val="TableParagraph"/>
        <w:spacing w:after="0" w:line="265" w:lineRule="exact"/>
        <w:rPr>
          <w:sz w:val="22"/>
        </w:rPr>
        <w:sectPr>
          <w:pgSz w:w="11910" w:h="16840"/>
          <w:pgMar w:header="300" w:footer="0" w:top="1340" w:bottom="280" w:left="850" w:right="566"/>
        </w:sectPr>
      </w:pPr>
    </w:p>
    <w:p>
      <w:pPr>
        <w:spacing w:line="232" w:lineRule="auto" w:before="90"/>
        <w:ind w:left="132" w:right="38" w:firstLine="0"/>
        <w:jc w:val="both"/>
        <w:rPr>
          <w:rFonts w:ascii="Arial Black"/>
          <w:sz w:val="22"/>
        </w:rPr>
      </w:pPr>
      <w:r>
        <w:rPr>
          <w:rFonts w:ascii="Arial Black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02496">
                <wp:simplePos x="0" y="0"/>
                <wp:positionH relativeFrom="page">
                  <wp:posOffset>551815</wp:posOffset>
                </wp:positionH>
                <wp:positionV relativeFrom="paragraph">
                  <wp:posOffset>50914</wp:posOffset>
                </wp:positionV>
                <wp:extent cx="6577330" cy="5842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577330" cy="584200"/>
                          <a:chExt cx="6577330" cy="5842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175"/>
                            <a:ext cx="6577330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330" h="577850">
                                <a:moveTo>
                                  <a:pt x="0" y="0"/>
                                </a:moveTo>
                                <a:lnTo>
                                  <a:pt x="6577330" y="0"/>
                                </a:lnTo>
                              </a:path>
                              <a:path w="6577330" h="577850">
                                <a:moveTo>
                                  <a:pt x="0" y="577850"/>
                                </a:moveTo>
                                <a:lnTo>
                                  <a:pt x="6577330" y="5778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75" y="0"/>
                            <a:ext cx="6570980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0980" h="584200">
                                <a:moveTo>
                                  <a:pt x="0" y="0"/>
                                </a:moveTo>
                                <a:lnTo>
                                  <a:pt x="0" y="584200"/>
                                </a:lnTo>
                              </a:path>
                              <a:path w="6570980" h="584200">
                                <a:moveTo>
                                  <a:pt x="6570980" y="0"/>
                                </a:moveTo>
                                <a:lnTo>
                                  <a:pt x="6570980" y="5842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50001pt;margin-top:4.0090pt;width:517.9pt;height:46pt;mso-position-horizontal-relative:page;mso-position-vertical-relative:paragraph;z-index:-15913984" id="docshapegroup4" coordorigin="869,80" coordsize="10358,920">
                <v:shape style="position:absolute;left:869;top:85;width:10358;height:910" id="docshape5" coordorigin="869,85" coordsize="10358,910" path="m869,85l11227,85m869,995l11227,995e" filled="false" stroked="true" strokeweight=".5pt" strokecolor="#a4a4a4">
                  <v:path arrowok="t"/>
                  <v:stroke dashstyle="solid"/>
                </v:shape>
                <v:shape style="position:absolute;left:874;top:80;width:10348;height:920" id="docshape6" coordorigin="874,80" coordsize="10348,920" path="m874,80l874,1000m11222,80l11222,1000e" filled="false" stroked="true" strokeweight=".5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 Black"/>
          <w:w w:val="90"/>
          <w:sz w:val="22"/>
        </w:rPr>
        <w:t>confidentiality, integrity </w:t>
      </w:r>
      <w:r>
        <w:rPr>
          <w:rFonts w:ascii="Arial Black"/>
          <w:w w:val="90"/>
          <w:sz w:val="22"/>
        </w:rPr>
        <w:t>and security of records, data and </w:t>
      </w:r>
      <w:r>
        <w:rPr>
          <w:rFonts w:ascii="Arial Black"/>
          <w:spacing w:val="-2"/>
          <w:sz w:val="22"/>
        </w:rPr>
        <w:t>information.</w:t>
      </w:r>
    </w:p>
    <w:p>
      <w:pPr>
        <w:spacing w:line="271" w:lineRule="auto" w:before="105"/>
        <w:ind w:left="132" w:right="356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and destruction of patient clinical </w:t>
      </w:r>
      <w:r>
        <w:rPr>
          <w:sz w:val="22"/>
        </w:rPr>
        <w:t>records,</w:t>
      </w:r>
      <w:r>
        <w:rPr>
          <w:spacing w:val="40"/>
          <w:w w:val="110"/>
          <w:sz w:val="22"/>
        </w:rPr>
        <w:t> </w:t>
      </w:r>
      <w:r>
        <w:rPr>
          <w:w w:val="110"/>
          <w:sz w:val="22"/>
        </w:rPr>
        <w:t>data and information.*</w:t>
      </w:r>
    </w:p>
    <w:p>
      <w:pPr>
        <w:spacing w:after="0" w:line="271" w:lineRule="auto"/>
        <w:jc w:val="left"/>
        <w:rPr>
          <w:sz w:val="22"/>
        </w:rPr>
        <w:sectPr>
          <w:pgSz w:w="11910" w:h="16840"/>
          <w:pgMar w:header="300" w:footer="0" w:top="1340" w:bottom="280" w:left="850" w:right="566"/>
          <w:cols w:num="2" w:equalWidth="0">
            <w:col w:w="3342" w:space="2310"/>
            <w:col w:w="4842"/>
          </w:cols>
        </w:sectPr>
      </w:pPr>
    </w:p>
    <w:p>
      <w:pPr>
        <w:spacing w:line="280" w:lineRule="auto" w:before="36"/>
        <w:ind w:left="591" w:right="935" w:firstLine="0"/>
        <w:jc w:val="left"/>
        <w:rPr>
          <w:rFonts w:ascii="Trebuchet MS" w:hAnsi="Trebuchet MS"/>
          <w:i/>
          <w:sz w:val="22"/>
        </w:rPr>
      </w:pPr>
      <w:r>
        <w:rPr>
          <w:rFonts w:ascii="Arial" w:hAnsi="Arial"/>
          <w:b/>
          <w:i/>
          <w:spacing w:val="-4"/>
          <w:sz w:val="22"/>
        </w:rPr>
        <w:t>Note: </w:t>
      </w:r>
      <w:r>
        <w:rPr>
          <w:rFonts w:ascii="Trebuchet MS" w:hAnsi="Trebuchet MS"/>
          <w:i/>
          <w:spacing w:val="-4"/>
          <w:sz w:val="22"/>
        </w:rPr>
        <w:t>“Written guidance” refers to formally approved and documented instructions, </w:t>
      </w:r>
      <w:r>
        <w:rPr>
          <w:rFonts w:ascii="Trebuchet MS" w:hAnsi="Trebuchet MS"/>
          <w:i/>
          <w:sz w:val="22"/>
        </w:rPr>
        <w:t>including manuals, policies, procedures, and SOPs, as applicable.</w:t>
      </w:r>
    </w:p>
    <w:p>
      <w:pPr>
        <w:pStyle w:val="BodyText"/>
        <w:rPr>
          <w:rFonts w:ascii="Trebuchet MS"/>
          <w:i/>
          <w:sz w:val="22"/>
        </w:rPr>
      </w:pPr>
    </w:p>
    <w:p>
      <w:pPr>
        <w:pStyle w:val="BodyText"/>
        <w:rPr>
          <w:rFonts w:ascii="Trebuchet MS"/>
          <w:i/>
          <w:sz w:val="22"/>
        </w:rPr>
      </w:pPr>
    </w:p>
    <w:p>
      <w:pPr>
        <w:pStyle w:val="BodyText"/>
        <w:spacing w:before="124"/>
        <w:rPr>
          <w:rFonts w:ascii="Trebuchet MS"/>
          <w:i/>
          <w:sz w:val="22"/>
        </w:rPr>
      </w:pPr>
    </w:p>
    <w:p>
      <w:pPr>
        <w:pStyle w:val="BodyText"/>
        <w:ind w:left="591"/>
      </w:pPr>
      <w:r>
        <w:rPr>
          <w:color w:val="00AFEF"/>
          <w:spacing w:val="-2"/>
          <w:w w:val="110"/>
        </w:rPr>
        <w:t>Disclaimer</w:t>
      </w:r>
    </w:p>
    <w:p>
      <w:pPr>
        <w:pStyle w:val="BodyText"/>
        <w:spacing w:before="74"/>
      </w:pPr>
    </w:p>
    <w:p>
      <w:pPr>
        <w:pStyle w:val="BodyText"/>
        <w:spacing w:line="271" w:lineRule="auto" w:before="1"/>
        <w:ind w:left="591" w:right="935"/>
      </w:pPr>
      <w:r>
        <w:rPr/>
        <w:t>The</w:t>
      </w:r>
      <w:r>
        <w:rPr>
          <w:spacing w:val="28"/>
        </w:rPr>
        <w:t> </w:t>
      </w:r>
      <w:r>
        <w:rPr/>
        <w:t>content</w:t>
      </w:r>
      <w:r>
        <w:rPr>
          <w:spacing w:val="28"/>
        </w:rPr>
        <w:t> </w:t>
      </w:r>
      <w:r>
        <w:rPr/>
        <w:t>of</w:t>
      </w:r>
      <w:r>
        <w:rPr>
          <w:spacing w:val="28"/>
        </w:rPr>
        <w:t> </w:t>
      </w:r>
      <w:r>
        <w:rPr/>
        <w:t>the</w:t>
      </w:r>
      <w:r>
        <w:rPr>
          <w:spacing w:val="28"/>
        </w:rPr>
        <w:t> </w:t>
      </w:r>
      <w:r>
        <w:rPr/>
        <w:t>E-mitra</w:t>
      </w:r>
      <w:r>
        <w:rPr>
          <w:spacing w:val="28"/>
        </w:rPr>
        <w:t> </w:t>
      </w:r>
      <w:r>
        <w:rPr/>
        <w:t>is</w:t>
      </w:r>
      <w:r>
        <w:rPr>
          <w:spacing w:val="28"/>
        </w:rPr>
        <w:t> </w:t>
      </w:r>
      <w:r>
        <w:rPr/>
        <w:t>intended</w:t>
      </w:r>
      <w:r>
        <w:rPr>
          <w:spacing w:val="28"/>
        </w:rPr>
        <w:t> </w:t>
      </w:r>
      <w:r>
        <w:rPr/>
        <w:t>to</w:t>
      </w:r>
      <w:r>
        <w:rPr>
          <w:spacing w:val="28"/>
        </w:rPr>
        <w:t> </w:t>
      </w:r>
      <w:r>
        <w:rPr/>
        <w:t>serve</w:t>
      </w:r>
      <w:r>
        <w:rPr>
          <w:spacing w:val="28"/>
        </w:rPr>
        <w:t> </w:t>
      </w:r>
      <w:r>
        <w:rPr/>
        <w:t>as</w:t>
      </w:r>
      <w:r>
        <w:rPr>
          <w:spacing w:val="28"/>
        </w:rPr>
        <w:t> </w:t>
      </w:r>
      <w:r>
        <w:rPr/>
        <w:t>a</w:t>
      </w:r>
      <w:r>
        <w:rPr>
          <w:spacing w:val="28"/>
        </w:rPr>
        <w:t> </w:t>
      </w:r>
      <w:r>
        <w:rPr/>
        <w:t>sample</w:t>
      </w:r>
      <w:r>
        <w:rPr>
          <w:spacing w:val="28"/>
        </w:rPr>
        <w:t> </w:t>
      </w:r>
      <w:r>
        <w:rPr/>
        <w:t>and</w:t>
      </w:r>
      <w:r>
        <w:rPr>
          <w:spacing w:val="28"/>
        </w:rPr>
        <w:t> </w:t>
      </w:r>
      <w:r>
        <w:rPr/>
        <w:t>guide</w:t>
      </w:r>
      <w:r>
        <w:rPr>
          <w:spacing w:val="28"/>
        </w:rPr>
        <w:t> </w:t>
      </w:r>
      <w:r>
        <w:rPr/>
        <w:t>for</w:t>
      </w:r>
      <w:r>
        <w:rPr>
          <w:spacing w:val="28"/>
        </w:rPr>
        <w:t> </w:t>
      </w:r>
      <w:r>
        <w:rPr/>
        <w:t>better understanding</w:t>
      </w:r>
      <w:r>
        <w:rPr>
          <w:spacing w:val="38"/>
        </w:rPr>
        <w:t> </w:t>
      </w:r>
      <w:r>
        <w:rPr/>
        <w:t>the</w:t>
      </w:r>
      <w:r>
        <w:rPr>
          <w:spacing w:val="38"/>
        </w:rPr>
        <w:t> </w:t>
      </w:r>
      <w:r>
        <w:rPr/>
        <w:t>NABH</w:t>
      </w:r>
      <w:r>
        <w:rPr>
          <w:spacing w:val="38"/>
        </w:rPr>
        <w:t> </w:t>
      </w:r>
      <w:r>
        <w:rPr/>
        <w:t>Entry</w:t>
      </w:r>
      <w:r>
        <w:rPr>
          <w:spacing w:val="38"/>
        </w:rPr>
        <w:t> </w:t>
      </w:r>
      <w:r>
        <w:rPr/>
        <w:t>Level</w:t>
      </w:r>
      <w:r>
        <w:rPr>
          <w:spacing w:val="38"/>
        </w:rPr>
        <w:t> </w:t>
      </w:r>
      <w:r>
        <w:rPr/>
        <w:t>Standards.</w:t>
      </w:r>
      <w:r>
        <w:rPr>
          <w:spacing w:val="38"/>
        </w:rPr>
        <w:t> </w:t>
      </w:r>
      <w:r>
        <w:rPr/>
        <w:t>It</w:t>
      </w:r>
      <w:r>
        <w:rPr>
          <w:spacing w:val="38"/>
        </w:rPr>
        <w:t> </w:t>
      </w:r>
      <w:r>
        <w:rPr/>
        <w:t>is</w:t>
      </w:r>
      <w:r>
        <w:rPr>
          <w:spacing w:val="38"/>
        </w:rPr>
        <w:t> </w:t>
      </w:r>
      <w:r>
        <w:rPr/>
        <w:t>not</w:t>
      </w:r>
      <w:r>
        <w:rPr>
          <w:spacing w:val="38"/>
        </w:rPr>
        <w:t> </w:t>
      </w:r>
      <w:r>
        <w:rPr/>
        <w:t>prescribed</w:t>
      </w:r>
      <w:r>
        <w:rPr>
          <w:spacing w:val="38"/>
        </w:rPr>
        <w:t> </w:t>
      </w:r>
      <w:r>
        <w:rPr/>
        <w:t>by</w:t>
      </w:r>
      <w:r>
        <w:rPr>
          <w:spacing w:val="38"/>
        </w:rPr>
        <w:t> </w:t>
      </w:r>
      <w:r>
        <w:rPr/>
        <w:t>NABH</w:t>
      </w:r>
      <w:r>
        <w:rPr>
          <w:spacing w:val="38"/>
        </w:rPr>
        <w:t> </w:t>
      </w:r>
      <w:r>
        <w:rPr/>
        <w:t>as </w:t>
      </w:r>
      <w:r>
        <w:rPr>
          <w:w w:val="110"/>
        </w:rPr>
        <w:t>the</w:t>
      </w:r>
      <w:r>
        <w:rPr>
          <w:spacing w:val="-16"/>
          <w:w w:val="110"/>
        </w:rPr>
        <w:t> </w:t>
      </w:r>
      <w:r>
        <w:rPr>
          <w:w w:val="110"/>
        </w:rPr>
        <w:t>exclusive</w:t>
      </w:r>
      <w:r>
        <w:rPr>
          <w:spacing w:val="-16"/>
          <w:w w:val="110"/>
        </w:rPr>
        <w:t> </w:t>
      </w:r>
      <w:r>
        <w:rPr>
          <w:w w:val="110"/>
        </w:rPr>
        <w:t>or</w:t>
      </w:r>
      <w:r>
        <w:rPr>
          <w:spacing w:val="-16"/>
          <w:w w:val="110"/>
        </w:rPr>
        <w:t> </w:t>
      </w:r>
      <w:r>
        <w:rPr>
          <w:w w:val="110"/>
        </w:rPr>
        <w:t>only</w:t>
      </w:r>
      <w:r>
        <w:rPr>
          <w:spacing w:val="-16"/>
          <w:w w:val="110"/>
        </w:rPr>
        <w:t> </w:t>
      </w:r>
      <w:r>
        <w:rPr>
          <w:w w:val="110"/>
        </w:rPr>
        <w:t>way</w:t>
      </w:r>
      <w:r>
        <w:rPr>
          <w:spacing w:val="-16"/>
          <w:w w:val="110"/>
        </w:rPr>
        <w:t> </w:t>
      </w:r>
      <w:r>
        <w:rPr>
          <w:w w:val="110"/>
        </w:rPr>
        <w:t>to</w:t>
      </w:r>
      <w:r>
        <w:rPr>
          <w:spacing w:val="-16"/>
          <w:w w:val="110"/>
        </w:rPr>
        <w:t> </w:t>
      </w:r>
      <w:r>
        <w:rPr>
          <w:w w:val="110"/>
        </w:rPr>
        <w:t>meet</w:t>
      </w:r>
      <w:r>
        <w:rPr>
          <w:spacing w:val="-16"/>
          <w:w w:val="110"/>
        </w:rPr>
        <w:t> </w:t>
      </w:r>
      <w:r>
        <w:rPr>
          <w:w w:val="110"/>
        </w:rPr>
        <w:t>the</w:t>
      </w:r>
      <w:r>
        <w:rPr>
          <w:spacing w:val="-16"/>
          <w:w w:val="110"/>
        </w:rPr>
        <w:t> </w:t>
      </w:r>
      <w:r>
        <w:rPr>
          <w:w w:val="110"/>
        </w:rPr>
        <w:t>standards.</w:t>
      </w:r>
      <w:r>
        <w:rPr>
          <w:spacing w:val="-16"/>
          <w:w w:val="110"/>
        </w:rPr>
        <w:t> </w:t>
      </w:r>
      <w:r>
        <w:rPr>
          <w:w w:val="110"/>
        </w:rPr>
        <w:t>Healthcare</w:t>
      </w:r>
      <w:r>
        <w:rPr>
          <w:spacing w:val="-16"/>
          <w:w w:val="110"/>
        </w:rPr>
        <w:t> </w:t>
      </w:r>
      <w:r>
        <w:rPr>
          <w:w w:val="110"/>
        </w:rPr>
        <w:t>organizations</w:t>
      </w:r>
      <w:r>
        <w:rPr>
          <w:spacing w:val="-16"/>
          <w:w w:val="110"/>
        </w:rPr>
        <w:t> </w:t>
      </w:r>
      <w:r>
        <w:rPr>
          <w:w w:val="110"/>
        </w:rPr>
        <w:t>are encouraged</w:t>
      </w:r>
      <w:r>
        <w:rPr>
          <w:spacing w:val="-20"/>
          <w:w w:val="110"/>
        </w:rPr>
        <w:t> </w:t>
      </w:r>
      <w:r>
        <w:rPr>
          <w:w w:val="110"/>
        </w:rPr>
        <w:t>to</w:t>
      </w:r>
      <w:r>
        <w:rPr>
          <w:spacing w:val="-20"/>
          <w:w w:val="110"/>
        </w:rPr>
        <w:t> </w:t>
      </w:r>
      <w:r>
        <w:rPr>
          <w:w w:val="110"/>
        </w:rPr>
        <w:t>adapt</w:t>
      </w:r>
      <w:r>
        <w:rPr>
          <w:spacing w:val="-20"/>
          <w:w w:val="110"/>
        </w:rPr>
        <w:t> </w:t>
      </w:r>
      <w:r>
        <w:rPr>
          <w:w w:val="110"/>
        </w:rPr>
        <w:t>and</w:t>
      </w:r>
      <w:r>
        <w:rPr>
          <w:spacing w:val="-20"/>
          <w:w w:val="110"/>
        </w:rPr>
        <w:t> </w:t>
      </w:r>
      <w:r>
        <w:rPr>
          <w:w w:val="110"/>
        </w:rPr>
        <w:t>modify</w:t>
      </w:r>
      <w:r>
        <w:rPr>
          <w:spacing w:val="-20"/>
          <w:w w:val="110"/>
        </w:rPr>
        <w:t> </w:t>
      </w:r>
      <w:r>
        <w:rPr>
          <w:w w:val="110"/>
        </w:rPr>
        <w:t>the</w:t>
      </w:r>
      <w:r>
        <w:rPr>
          <w:spacing w:val="-20"/>
          <w:w w:val="110"/>
        </w:rPr>
        <w:t> </w:t>
      </w:r>
      <w:r>
        <w:rPr>
          <w:w w:val="110"/>
        </w:rPr>
        <w:t>materials</w:t>
      </w:r>
      <w:r>
        <w:rPr>
          <w:spacing w:val="-20"/>
          <w:w w:val="110"/>
        </w:rPr>
        <w:t> </w:t>
      </w:r>
      <w:r>
        <w:rPr>
          <w:w w:val="110"/>
        </w:rPr>
        <w:t>according</w:t>
      </w:r>
      <w:r>
        <w:rPr>
          <w:spacing w:val="-20"/>
          <w:w w:val="110"/>
        </w:rPr>
        <w:t> </w:t>
      </w:r>
      <w:r>
        <w:rPr>
          <w:w w:val="110"/>
        </w:rPr>
        <w:t>to</w:t>
      </w:r>
      <w:r>
        <w:rPr>
          <w:spacing w:val="-20"/>
          <w:w w:val="110"/>
        </w:rPr>
        <w:t> </w:t>
      </w:r>
      <w:r>
        <w:rPr>
          <w:w w:val="110"/>
        </w:rPr>
        <w:t>their</w:t>
      </w:r>
      <w:r>
        <w:rPr>
          <w:spacing w:val="-20"/>
          <w:w w:val="110"/>
        </w:rPr>
        <w:t> </w:t>
      </w:r>
      <w:r>
        <w:rPr>
          <w:w w:val="110"/>
        </w:rPr>
        <w:t>own</w:t>
      </w:r>
      <w:r>
        <w:rPr>
          <w:spacing w:val="-20"/>
          <w:w w:val="110"/>
        </w:rPr>
        <w:t> </w:t>
      </w:r>
      <w:r>
        <w:rPr>
          <w:w w:val="110"/>
        </w:rPr>
        <w:t>scope</w:t>
      </w:r>
      <w:r>
        <w:rPr>
          <w:spacing w:val="-20"/>
          <w:w w:val="110"/>
        </w:rPr>
        <w:t> </w:t>
      </w:r>
      <w:r>
        <w:rPr>
          <w:w w:val="110"/>
        </w:rPr>
        <w:t>of </w:t>
      </w:r>
      <w:r>
        <w:rPr/>
        <w:t>services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operational</w:t>
      </w:r>
      <w:r>
        <w:rPr>
          <w:spacing w:val="40"/>
        </w:rPr>
        <w:t> </w:t>
      </w:r>
      <w:r>
        <w:rPr/>
        <w:t>needs.</w:t>
      </w:r>
      <w:r>
        <w:rPr>
          <w:spacing w:val="40"/>
        </w:rPr>
        <w:t> </w:t>
      </w:r>
      <w:r>
        <w:rPr/>
        <w:t>NABH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not</w:t>
      </w:r>
      <w:r>
        <w:rPr>
          <w:spacing w:val="40"/>
        </w:rPr>
        <w:t> </w:t>
      </w:r>
      <w:r>
        <w:rPr/>
        <w:t>liable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any</w:t>
      </w:r>
      <w:r>
        <w:rPr>
          <w:spacing w:val="40"/>
        </w:rPr>
        <w:t> </w:t>
      </w:r>
      <w:r>
        <w:rPr/>
        <w:t>misinterpretations</w:t>
      </w:r>
      <w:r>
        <w:rPr>
          <w:spacing w:val="40"/>
        </w:rPr>
        <w:t> </w:t>
      </w:r>
      <w:r>
        <w:rPr/>
        <w:t>or </w:t>
      </w:r>
      <w:r>
        <w:rPr>
          <w:w w:val="110"/>
        </w:rPr>
        <w:t>errors</w:t>
      </w:r>
      <w:r>
        <w:rPr>
          <w:spacing w:val="-10"/>
          <w:w w:val="110"/>
        </w:rPr>
        <w:t> </w:t>
      </w:r>
      <w:r>
        <w:rPr>
          <w:w w:val="110"/>
        </w:rPr>
        <w:t>resulting</w:t>
      </w:r>
      <w:r>
        <w:rPr>
          <w:spacing w:val="-10"/>
          <w:w w:val="110"/>
        </w:rPr>
        <w:t> </w:t>
      </w:r>
      <w:r>
        <w:rPr>
          <w:w w:val="110"/>
        </w:rPr>
        <w:t>from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unmodified</w:t>
      </w:r>
      <w:r>
        <w:rPr>
          <w:spacing w:val="-10"/>
          <w:w w:val="110"/>
        </w:rPr>
        <w:t> </w:t>
      </w:r>
      <w:r>
        <w:rPr>
          <w:w w:val="110"/>
        </w:rPr>
        <w:t>use</w:t>
      </w:r>
      <w:r>
        <w:rPr>
          <w:spacing w:val="-10"/>
          <w:w w:val="110"/>
        </w:rPr>
        <w:t> </w:t>
      </w:r>
      <w:r>
        <w:rPr>
          <w:w w:val="110"/>
        </w:rPr>
        <w:t>of</w:t>
      </w:r>
      <w:r>
        <w:rPr>
          <w:spacing w:val="-10"/>
          <w:w w:val="110"/>
        </w:rPr>
        <w:t> </w:t>
      </w:r>
      <w:r>
        <w:rPr>
          <w:w w:val="110"/>
        </w:rPr>
        <w:t>this</w:t>
      </w:r>
      <w:r>
        <w:rPr>
          <w:spacing w:val="-10"/>
          <w:w w:val="110"/>
        </w:rPr>
        <w:t> </w:t>
      </w:r>
      <w:r>
        <w:rPr>
          <w:w w:val="110"/>
        </w:rPr>
        <w:t>material,</w:t>
      </w:r>
      <w:r>
        <w:rPr>
          <w:spacing w:val="-10"/>
          <w:w w:val="110"/>
        </w:rPr>
        <w:t> </w:t>
      </w:r>
      <w:r>
        <w:rPr>
          <w:w w:val="110"/>
        </w:rPr>
        <w:t>or</w:t>
      </w:r>
      <w:r>
        <w:rPr>
          <w:spacing w:val="-10"/>
          <w:w w:val="110"/>
        </w:rPr>
        <w:t> </w:t>
      </w:r>
      <w:r>
        <w:rPr>
          <w:w w:val="110"/>
        </w:rPr>
        <w:t>for</w:t>
      </w:r>
      <w:r>
        <w:rPr>
          <w:spacing w:val="-10"/>
          <w:w w:val="110"/>
        </w:rPr>
        <w:t> </w:t>
      </w:r>
      <w:r>
        <w:rPr>
          <w:w w:val="110"/>
        </w:rPr>
        <w:t>any</w:t>
      </w:r>
      <w:r>
        <w:rPr>
          <w:spacing w:val="-10"/>
          <w:w w:val="110"/>
        </w:rPr>
        <w:t> </w:t>
      </w:r>
      <w:r>
        <w:rPr>
          <w:w w:val="110"/>
        </w:rPr>
        <w:t>non-compliance</w:t>
      </w:r>
      <w:r>
        <w:rPr>
          <w:spacing w:val="-14"/>
          <w:w w:val="110"/>
        </w:rPr>
        <w:t> </w:t>
      </w:r>
      <w:r>
        <w:rPr>
          <w:w w:val="110"/>
        </w:rPr>
        <w:t>during</w:t>
      </w:r>
      <w:r>
        <w:rPr>
          <w:spacing w:val="-14"/>
          <w:w w:val="110"/>
        </w:rPr>
        <w:t> </w:t>
      </w:r>
      <w:r>
        <w:rPr>
          <w:w w:val="110"/>
        </w:rPr>
        <w:t>assessments</w:t>
      </w:r>
      <w:r>
        <w:rPr>
          <w:spacing w:val="-14"/>
          <w:w w:val="110"/>
        </w:rPr>
        <w:t> </w:t>
      </w:r>
      <w:r>
        <w:rPr>
          <w:w w:val="110"/>
        </w:rPr>
        <w:t>that</w:t>
      </w:r>
      <w:r>
        <w:rPr>
          <w:spacing w:val="-14"/>
          <w:w w:val="110"/>
        </w:rPr>
        <w:t> </w:t>
      </w:r>
      <w:r>
        <w:rPr>
          <w:w w:val="110"/>
        </w:rPr>
        <w:t>may</w:t>
      </w:r>
      <w:r>
        <w:rPr>
          <w:spacing w:val="-14"/>
          <w:w w:val="110"/>
        </w:rPr>
        <w:t> </w:t>
      </w:r>
      <w:r>
        <w:rPr>
          <w:w w:val="110"/>
        </w:rPr>
        <w:t>arise</w:t>
      </w:r>
      <w:r>
        <w:rPr>
          <w:spacing w:val="-14"/>
          <w:w w:val="110"/>
        </w:rPr>
        <w:t> </w:t>
      </w:r>
      <w:r>
        <w:rPr>
          <w:w w:val="110"/>
        </w:rPr>
        <w:t>because</w:t>
      </w:r>
      <w:r>
        <w:rPr>
          <w:spacing w:val="-14"/>
          <w:w w:val="110"/>
        </w:rPr>
        <w:t> </w:t>
      </w:r>
      <w:r>
        <w:rPr>
          <w:w w:val="110"/>
        </w:rPr>
        <w:t>of</w:t>
      </w:r>
      <w:r>
        <w:rPr>
          <w:spacing w:val="-14"/>
          <w:w w:val="110"/>
        </w:rPr>
        <w:t> </w:t>
      </w:r>
      <w:r>
        <w:rPr>
          <w:w w:val="110"/>
        </w:rPr>
        <w:t>such</w:t>
      </w:r>
      <w:r>
        <w:rPr>
          <w:spacing w:val="-14"/>
          <w:w w:val="110"/>
        </w:rPr>
        <w:t> </w:t>
      </w:r>
      <w:r>
        <w:rPr>
          <w:w w:val="110"/>
        </w:rPr>
        <w:t>actions.</w:t>
      </w:r>
    </w:p>
    <w:sectPr>
      <w:type w:val="continuous"/>
      <w:pgSz w:w="11910" w:h="16840"/>
      <w:pgMar w:header="300" w:footer="0" w:top="1340" w:bottom="28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2496">
              <wp:simplePos x="0" y="0"/>
              <wp:positionH relativeFrom="page">
                <wp:posOffset>5226684</wp:posOffset>
              </wp:positionH>
              <wp:positionV relativeFrom="page">
                <wp:posOffset>190509</wp:posOffset>
              </wp:positionV>
              <wp:extent cx="2007870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7870" cy="548005"/>
                        <a:chExt cx="2007870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689" y="129539"/>
                          <a:ext cx="932179" cy="29717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94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1.549988pt;margin-top:15.000771pt;width:158.1pt;height:43.15pt;mso-position-horizontal-relative:page;mso-position-vertical-relative:page;z-index:-15913984" id="docshapegroup1" coordorigin="8231,300" coordsize="3162,863">
              <v:shape style="position:absolute;left:9925;top:504;width:1468;height:468" type="#_x0000_t75" id="docshape2" stroked="false">
                <v:imagedata r:id="rId1" o:title=""/>
              </v:shape>
              <v:shape style="position:absolute;left:8231;top:300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652" w:right="928"/>
      <w:jc w:val="center"/>
    </w:pPr>
    <w:rPr>
      <w:rFonts w:ascii="Tahoma" w:hAnsi="Tahoma" w:eastAsia="Tahoma" w:cs="Tahoma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"/>
      <w:ind w:left="108"/>
    </w:pPr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 Sharma</dc:creator>
  <dcterms:created xsi:type="dcterms:W3CDTF">2026-08-28T07:14:25Z</dcterms:created>
  <dcterms:modified xsi:type="dcterms:W3CDTF">2026-08-28T07:14:25Z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2026-06-04T00:00:00Z</vt:filetime>
  </property>
</Properties>
</file>